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4292"/>
        <w:gridCol w:w="4661"/>
        <w:gridCol w:w="48"/>
        <w:gridCol w:w="48"/>
      </w:tblGrid>
      <w:tr w:rsidR="00326293" w:rsidTr="00326293">
        <w:trPr>
          <w:trHeight w:val="465"/>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  NAZIV KORISNIKA</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Učenički dom Karlovac,  Samostanska 2, Karlovac</w:t>
            </w:r>
          </w:p>
        </w:tc>
        <w:tc>
          <w:tcPr>
            <w:tcW w:w="0" w:type="auto"/>
            <w:tcBorders>
              <w:left w:val="single" w:sz="18" w:space="0" w:color="000000"/>
            </w:tcBorders>
            <w:hideMark/>
          </w:tcPr>
          <w:p w:rsidR="00326293" w:rsidRDefault="00326293"/>
        </w:tc>
        <w:tc>
          <w:tcPr>
            <w:tcW w:w="0" w:type="auto"/>
            <w:hideMark/>
          </w:tcPr>
          <w:p w:rsidR="00326293" w:rsidRDefault="00326293"/>
        </w:tc>
      </w:tr>
      <w:tr w:rsidR="00326293" w:rsidTr="00326293">
        <w:trPr>
          <w:trHeight w:val="547"/>
        </w:trPr>
        <w:tc>
          <w:tcPr>
            <w:tcW w:w="0" w:type="auto"/>
            <w:tcBorders>
              <w:top w:val="single" w:sz="18" w:space="0" w:color="000000"/>
              <w:left w:val="single" w:sz="8" w:space="0" w:color="000000"/>
              <w:bottom w:val="single" w:sz="4" w:space="0" w:color="000000"/>
              <w:right w:val="single" w:sz="8" w:space="0" w:color="000000"/>
            </w:tcBorders>
            <w:vAlign w:val="center"/>
            <w:hideMark/>
          </w:tcPr>
          <w:p w:rsidR="00326293" w:rsidRDefault="00326293">
            <w:pPr>
              <w:pStyle w:val="StandardWeb"/>
              <w:spacing w:after="0"/>
            </w:pPr>
            <w:r>
              <w:rPr>
                <w:b/>
                <w:bCs/>
                <w:color w:val="000000"/>
              </w:rPr>
              <w:t>DJELOKRUG RADA</w:t>
            </w:r>
          </w:p>
        </w:tc>
        <w:tc>
          <w:tcPr>
            <w:tcW w:w="0" w:type="auto"/>
            <w:tcBorders>
              <w:top w:val="single" w:sz="18" w:space="0" w:color="000000"/>
              <w:left w:val="single" w:sz="8" w:space="0" w:color="000000"/>
              <w:bottom w:val="single" w:sz="4" w:space="0" w:color="000000"/>
              <w:right w:val="single" w:sz="8" w:space="0" w:color="000000"/>
            </w:tcBorders>
            <w:hideMark/>
          </w:tcPr>
          <w:p w:rsidR="00326293" w:rsidRDefault="00326293">
            <w:pPr>
              <w:pStyle w:val="StandardWeb"/>
              <w:spacing w:after="0"/>
            </w:pPr>
            <w:r>
              <w:rPr>
                <w:color w:val="000000"/>
              </w:rPr>
              <w:t>Osnovna djelatnost Doma je ostvarivanje programa odgojno-obrazovnog rada s učenicima, ostvarivanje programa smještaja i prehrane učenika, ostvarivanje kulturne i umjetničke aktivnosti učenika, organiziranje tehničke i sportske aktivnosti učenika, organiziranje kreativnog korištenja  slobodnog vremena učenika, skrb o psihofizičkom zdravlju učenika. Domska djelatnost dio je djelatnosti srednjeg školstva i s njome je programski povezana. </w:t>
            </w:r>
          </w:p>
        </w:tc>
        <w:tc>
          <w:tcPr>
            <w:tcW w:w="0" w:type="auto"/>
            <w:tcBorders>
              <w:left w:val="single" w:sz="8" w:space="0" w:color="000000"/>
            </w:tcBorders>
            <w:hideMark/>
          </w:tcPr>
          <w:p w:rsidR="00326293" w:rsidRDefault="00326293"/>
        </w:tc>
        <w:tc>
          <w:tcPr>
            <w:tcW w:w="0" w:type="auto"/>
            <w:hideMark/>
          </w:tcPr>
          <w:p w:rsidR="00326293" w:rsidRDefault="00326293"/>
        </w:tc>
      </w:tr>
      <w:tr w:rsidR="00326293" w:rsidTr="00326293">
        <w:trPr>
          <w:trHeight w:val="1833"/>
        </w:trPr>
        <w:tc>
          <w:tcPr>
            <w:tcW w:w="0" w:type="auto"/>
            <w:tcBorders>
              <w:top w:val="single" w:sz="4" w:space="0" w:color="000000"/>
              <w:left w:val="single" w:sz="8" w:space="0" w:color="000000"/>
              <w:bottom w:val="single" w:sz="4" w:space="0" w:color="000000"/>
              <w:right w:val="single" w:sz="8" w:space="0" w:color="000000"/>
            </w:tcBorders>
            <w:vAlign w:val="center"/>
            <w:hideMark/>
          </w:tcPr>
          <w:p w:rsidR="00326293" w:rsidRDefault="00326293">
            <w:pPr>
              <w:pStyle w:val="StandardWeb"/>
              <w:spacing w:after="0"/>
              <w:ind w:left="-851" w:firstLine="851"/>
            </w:pPr>
            <w:r>
              <w:rPr>
                <w:b/>
                <w:bCs/>
                <w:color w:val="000000"/>
              </w:rPr>
              <w:t>ORGANIZACIJSKA                        </w:t>
            </w:r>
          </w:p>
          <w:p w:rsidR="00326293" w:rsidRDefault="00326293">
            <w:pPr>
              <w:pStyle w:val="StandardWeb"/>
              <w:spacing w:after="0"/>
              <w:ind w:left="-851" w:firstLine="851"/>
            </w:pPr>
            <w:r>
              <w:rPr>
                <w:b/>
                <w:bCs/>
                <w:color w:val="000000"/>
              </w:rPr>
              <w:t>STRUKTURA</w:t>
            </w:r>
          </w:p>
        </w:tc>
        <w:tc>
          <w:tcPr>
            <w:tcW w:w="0" w:type="auto"/>
            <w:tcBorders>
              <w:top w:val="single" w:sz="4" w:space="0" w:color="000000"/>
              <w:left w:val="single" w:sz="8" w:space="0" w:color="000000"/>
              <w:bottom w:val="single" w:sz="4" w:space="0" w:color="000000"/>
              <w:right w:val="single" w:sz="8" w:space="0" w:color="000000"/>
            </w:tcBorders>
            <w:hideMark/>
          </w:tcPr>
          <w:p w:rsidR="00326293" w:rsidRPr="0098696C" w:rsidRDefault="00873DB3">
            <w:pPr>
              <w:pStyle w:val="StandardWeb"/>
              <w:spacing w:after="0"/>
            </w:pPr>
            <w:r w:rsidRPr="0098696C">
              <w:rPr>
                <w:color w:val="000000"/>
              </w:rPr>
              <w:t>Dom trenutno upošljava 2</w:t>
            </w:r>
            <w:r w:rsidR="00F41BF4" w:rsidRPr="0098696C">
              <w:rPr>
                <w:color w:val="000000"/>
              </w:rPr>
              <w:t>4</w:t>
            </w:r>
            <w:r w:rsidR="00326293" w:rsidRPr="0098696C">
              <w:rPr>
                <w:color w:val="000000"/>
              </w:rPr>
              <w:t xml:space="preserve"> </w:t>
            </w:r>
            <w:r w:rsidRPr="0098696C">
              <w:rPr>
                <w:color w:val="000000"/>
              </w:rPr>
              <w:t xml:space="preserve">djelatnika (22 na neodređeno i </w:t>
            </w:r>
            <w:r w:rsidR="00F41BF4" w:rsidRPr="0098696C">
              <w:rPr>
                <w:color w:val="000000"/>
              </w:rPr>
              <w:t>2</w:t>
            </w:r>
            <w:r w:rsidRPr="0098696C">
              <w:rPr>
                <w:color w:val="000000"/>
              </w:rPr>
              <w:t xml:space="preserve"> određeno), ravnateljicu, 7</w:t>
            </w:r>
            <w:r w:rsidR="00326293" w:rsidRPr="0098696C">
              <w:rPr>
                <w:color w:val="000000"/>
              </w:rPr>
              <w:t xml:space="preserve"> odgajatelja (1 odgajateljica na porodiljskom dopustu), pedagoginju, tajnicu, voditeljicu računovodstva, ekonoma-skladištara, 2 noćna pazitelja, domara-</w:t>
            </w:r>
            <w:r w:rsidRPr="0098696C">
              <w:rPr>
                <w:color w:val="000000"/>
              </w:rPr>
              <w:t>ložača, 5 kuharica, pralju i dvije</w:t>
            </w:r>
            <w:r w:rsidR="00326293" w:rsidRPr="0098696C">
              <w:rPr>
                <w:color w:val="000000"/>
              </w:rPr>
              <w:t xml:space="preserve"> čistačice. Raspored rada svih djelatnika odvija se u okviru 40 – satnog radnog vremena u tijeku tjedna.</w:t>
            </w:r>
          </w:p>
          <w:p w:rsidR="00326293" w:rsidRPr="00873DB3" w:rsidRDefault="00326293">
            <w:pPr>
              <w:rPr>
                <w:highlight w:val="yellow"/>
              </w:rPr>
            </w:pPr>
          </w:p>
        </w:tc>
        <w:tc>
          <w:tcPr>
            <w:tcW w:w="0" w:type="auto"/>
            <w:tcBorders>
              <w:left w:val="single" w:sz="8" w:space="0" w:color="000000"/>
            </w:tcBorders>
            <w:hideMark/>
          </w:tcPr>
          <w:p w:rsidR="00326293" w:rsidRDefault="00326293"/>
        </w:tc>
        <w:tc>
          <w:tcPr>
            <w:tcW w:w="0" w:type="auto"/>
            <w:hideMark/>
          </w:tcPr>
          <w:p w:rsidR="00326293" w:rsidRDefault="00326293"/>
        </w:tc>
      </w:tr>
      <w:tr w:rsidR="00326293" w:rsidTr="00326293">
        <w:trPr>
          <w:trHeight w:val="3690"/>
        </w:trPr>
        <w:tc>
          <w:tcPr>
            <w:tcW w:w="0" w:type="auto"/>
            <w:tcBorders>
              <w:top w:val="single" w:sz="4" w:space="0" w:color="000000"/>
              <w:left w:val="single" w:sz="8" w:space="0" w:color="000000"/>
              <w:bottom w:val="single" w:sz="8" w:space="0" w:color="000000"/>
              <w:right w:val="single" w:sz="8" w:space="0" w:color="000000"/>
            </w:tcBorders>
            <w:vAlign w:val="center"/>
            <w:hideMark/>
          </w:tcPr>
          <w:p w:rsidR="00326293" w:rsidRDefault="00326293">
            <w:pPr>
              <w:pStyle w:val="StandardWeb"/>
              <w:spacing w:after="0"/>
              <w:jc w:val="center"/>
            </w:pPr>
            <w:r>
              <w:rPr>
                <w:b/>
                <w:bCs/>
                <w:color w:val="000000"/>
              </w:rPr>
              <w:t>FINANCIJSKI PLAN ZA 2021</w:t>
            </w:r>
          </w:p>
          <w:p w:rsidR="00326293" w:rsidRDefault="00326293"/>
        </w:tc>
        <w:tc>
          <w:tcPr>
            <w:tcW w:w="0" w:type="auto"/>
            <w:tcBorders>
              <w:top w:val="single" w:sz="4" w:space="0" w:color="000000"/>
              <w:left w:val="single" w:sz="8" w:space="0" w:color="000000"/>
              <w:bottom w:val="single" w:sz="8" w:space="0" w:color="000000"/>
              <w:right w:val="single" w:sz="8" w:space="0" w:color="000000"/>
            </w:tcBorders>
            <w:vAlign w:val="center"/>
            <w:hideMark/>
          </w:tcPr>
          <w:p w:rsidR="00326293" w:rsidRDefault="00326293">
            <w:pPr>
              <w:pStyle w:val="StandardWeb"/>
              <w:spacing w:after="0"/>
            </w:pPr>
            <w:r>
              <w:rPr>
                <w:color w:val="000000"/>
              </w:rPr>
              <w:t>U 2021. godini planirano je ostvarenje prihoda iz slijedećih izvora:</w:t>
            </w:r>
          </w:p>
          <w:p w:rsidR="00326293" w:rsidRDefault="00326293">
            <w:pPr>
              <w:pStyle w:val="StandardWeb"/>
              <w:spacing w:after="0"/>
            </w:pPr>
            <w:r>
              <w:rPr>
                <w:color w:val="000000"/>
              </w:rPr>
              <w:t>            1. državnog proračuna 3.</w:t>
            </w:r>
            <w:r w:rsidR="003E1514">
              <w:rPr>
                <w:color w:val="000000"/>
              </w:rPr>
              <w:t>905</w:t>
            </w:r>
            <w:r>
              <w:rPr>
                <w:color w:val="000000"/>
              </w:rPr>
              <w:t>.000,00 kn</w:t>
            </w:r>
          </w:p>
          <w:p w:rsidR="00326293" w:rsidRDefault="00326293">
            <w:pPr>
              <w:pStyle w:val="StandardWeb"/>
              <w:spacing w:after="0"/>
              <w:ind w:left="708"/>
            </w:pPr>
            <w:r>
              <w:rPr>
                <w:color w:val="000000"/>
              </w:rPr>
              <w:t>2. županijskog proračuna 1.</w:t>
            </w:r>
            <w:r w:rsidR="003B0F87">
              <w:rPr>
                <w:color w:val="000000"/>
              </w:rPr>
              <w:t>248</w:t>
            </w:r>
            <w:r>
              <w:rPr>
                <w:color w:val="000000"/>
              </w:rPr>
              <w:t>.600,00 kn</w:t>
            </w:r>
          </w:p>
          <w:p w:rsidR="00326293" w:rsidRDefault="00326293">
            <w:pPr>
              <w:pStyle w:val="StandardWeb"/>
              <w:spacing w:after="0"/>
              <w:ind w:left="708"/>
            </w:pPr>
            <w:r>
              <w:rPr>
                <w:color w:val="000000"/>
              </w:rPr>
              <w:t xml:space="preserve">3. prihodi od uplate učenika </w:t>
            </w:r>
            <w:r w:rsidR="0093289B">
              <w:rPr>
                <w:color w:val="000000"/>
              </w:rPr>
              <w:t>861.064,38</w:t>
            </w:r>
            <w:r>
              <w:rPr>
                <w:color w:val="000000"/>
              </w:rPr>
              <w:t xml:space="preserve"> kn</w:t>
            </w:r>
          </w:p>
          <w:p w:rsidR="00326293" w:rsidRDefault="00326293">
            <w:pPr>
              <w:pStyle w:val="StandardWeb"/>
              <w:spacing w:after="0"/>
              <w:ind w:left="708"/>
            </w:pPr>
            <w:r>
              <w:rPr>
                <w:color w:val="000000"/>
              </w:rPr>
              <w:t xml:space="preserve">4. prihodi od kamata </w:t>
            </w:r>
            <w:r w:rsidR="003E1514">
              <w:rPr>
                <w:color w:val="000000"/>
              </w:rPr>
              <w:t>200,00</w:t>
            </w:r>
            <w:r>
              <w:rPr>
                <w:color w:val="000000"/>
              </w:rPr>
              <w:t xml:space="preserve"> kn</w:t>
            </w:r>
          </w:p>
          <w:p w:rsidR="00326293" w:rsidRDefault="00326293">
            <w:pPr>
              <w:pStyle w:val="StandardWeb"/>
              <w:spacing w:after="0"/>
              <w:ind w:left="708"/>
            </w:pPr>
            <w:r>
              <w:rPr>
                <w:color w:val="000000"/>
              </w:rPr>
              <w:t>5. prihodi od prodaje stanova 1.000,00 kn</w:t>
            </w:r>
          </w:p>
          <w:p w:rsidR="00326293" w:rsidRDefault="00326293">
            <w:pPr>
              <w:pStyle w:val="StandardWeb"/>
              <w:spacing w:after="0"/>
              <w:ind w:left="708"/>
            </w:pPr>
            <w:r>
              <w:rPr>
                <w:color w:val="000000"/>
              </w:rPr>
              <w:t xml:space="preserve">6. vlastiti prihodi </w:t>
            </w:r>
            <w:r w:rsidR="0093289B">
              <w:rPr>
                <w:color w:val="000000"/>
              </w:rPr>
              <w:t>19.200,00</w:t>
            </w:r>
            <w:r>
              <w:rPr>
                <w:color w:val="000000"/>
              </w:rPr>
              <w:t xml:space="preserve"> kn</w:t>
            </w:r>
          </w:p>
          <w:p w:rsidR="00326293" w:rsidRDefault="00326293">
            <w:pPr>
              <w:pStyle w:val="StandardWeb"/>
              <w:spacing w:after="0"/>
              <w:ind w:left="708"/>
              <w:rPr>
                <w:color w:val="000000"/>
              </w:rPr>
            </w:pPr>
            <w:r>
              <w:rPr>
                <w:color w:val="000000"/>
              </w:rPr>
              <w:t xml:space="preserve">7. uključeni višak prihoda nad rashodima iz prijašnjih godina    </w:t>
            </w:r>
            <w:r w:rsidR="003E1514">
              <w:rPr>
                <w:color w:val="000000"/>
              </w:rPr>
              <w:t>692.573,16</w:t>
            </w:r>
            <w:r>
              <w:rPr>
                <w:color w:val="000000"/>
              </w:rPr>
              <w:t xml:space="preserve"> – izvor 432</w:t>
            </w:r>
          </w:p>
          <w:p w:rsidR="003E1514" w:rsidRDefault="003E1514">
            <w:pPr>
              <w:pStyle w:val="StandardWeb"/>
              <w:spacing w:after="0"/>
              <w:ind w:left="708"/>
              <w:rPr>
                <w:color w:val="000000"/>
              </w:rPr>
            </w:pPr>
            <w:r>
              <w:rPr>
                <w:color w:val="000000"/>
              </w:rPr>
              <w:t>8. Prihodi od HZZ – mjera pripravništva</w:t>
            </w:r>
          </w:p>
          <w:p w:rsidR="003E1514" w:rsidRDefault="003E1514">
            <w:pPr>
              <w:pStyle w:val="StandardWeb"/>
              <w:spacing w:after="0"/>
              <w:ind w:left="708"/>
              <w:rPr>
                <w:color w:val="000000"/>
              </w:rPr>
            </w:pPr>
            <w:r>
              <w:rPr>
                <w:color w:val="000000"/>
              </w:rPr>
              <w:t xml:space="preserve">    1.317,85 kn</w:t>
            </w:r>
          </w:p>
          <w:p w:rsidR="003E1514" w:rsidRDefault="003E1514">
            <w:pPr>
              <w:pStyle w:val="StandardWeb"/>
              <w:spacing w:after="0"/>
              <w:ind w:left="708"/>
              <w:rPr>
                <w:color w:val="000000"/>
              </w:rPr>
            </w:pPr>
            <w:r>
              <w:rPr>
                <w:color w:val="000000"/>
              </w:rPr>
              <w:t>9. EU projekti – 1.994,96 kn</w:t>
            </w:r>
          </w:p>
          <w:p w:rsidR="003E1514" w:rsidRDefault="003E1514">
            <w:pPr>
              <w:pStyle w:val="StandardWeb"/>
              <w:spacing w:after="0"/>
              <w:ind w:left="708"/>
              <w:rPr>
                <w:color w:val="000000"/>
              </w:rPr>
            </w:pPr>
            <w:r>
              <w:rPr>
                <w:color w:val="000000"/>
              </w:rPr>
              <w:t xml:space="preserve">10. Pomoći od nenadležnih proračuna – </w:t>
            </w:r>
          </w:p>
          <w:p w:rsidR="003E1514" w:rsidRPr="009659C0" w:rsidRDefault="003E1514" w:rsidP="009659C0">
            <w:pPr>
              <w:pStyle w:val="StandardWeb"/>
              <w:spacing w:after="0"/>
              <w:ind w:left="708"/>
              <w:rPr>
                <w:color w:val="000000"/>
              </w:rPr>
            </w:pPr>
            <w:r>
              <w:rPr>
                <w:color w:val="000000"/>
              </w:rPr>
              <w:t xml:space="preserve">      </w:t>
            </w:r>
            <w:r w:rsidR="009659C0">
              <w:rPr>
                <w:color w:val="000000"/>
              </w:rPr>
              <w:t>193.495</w:t>
            </w:r>
            <w:r>
              <w:rPr>
                <w:color w:val="000000"/>
              </w:rPr>
              <w:t xml:space="preserve">,00 kn    </w:t>
            </w:r>
          </w:p>
          <w:p w:rsidR="00326293" w:rsidRDefault="00326293">
            <w:pPr>
              <w:spacing w:after="240"/>
            </w:pPr>
          </w:p>
        </w:tc>
        <w:tc>
          <w:tcPr>
            <w:tcW w:w="0" w:type="auto"/>
            <w:tcBorders>
              <w:left w:val="single" w:sz="8" w:space="0" w:color="000000"/>
            </w:tcBorders>
            <w:hideMark/>
          </w:tcPr>
          <w:p w:rsidR="00326293" w:rsidRDefault="00326293">
            <w:pPr>
              <w:spacing w:after="0"/>
            </w:pPr>
          </w:p>
        </w:tc>
        <w:tc>
          <w:tcPr>
            <w:tcW w:w="0" w:type="auto"/>
            <w:hideMark/>
          </w:tcPr>
          <w:p w:rsidR="00326293" w:rsidRDefault="00326293"/>
        </w:tc>
      </w:tr>
      <w:tr w:rsidR="00326293" w:rsidTr="00326293">
        <w:trPr>
          <w:trHeight w:val="556"/>
        </w:trPr>
        <w:tc>
          <w:tcPr>
            <w:tcW w:w="0" w:type="auto"/>
            <w:tcBorders>
              <w:top w:val="single" w:sz="36"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lastRenderedPageBreak/>
              <w:t>  NAZIV PROGRAMA</w:t>
            </w:r>
          </w:p>
        </w:tc>
        <w:tc>
          <w:tcPr>
            <w:tcW w:w="0" w:type="auto"/>
            <w:tcBorders>
              <w:top w:val="single" w:sz="36" w:space="0" w:color="000000"/>
              <w:left w:val="single" w:sz="18" w:space="0" w:color="000000"/>
              <w:bottom w:val="single" w:sz="18" w:space="0" w:color="000000"/>
              <w:right w:val="single" w:sz="36" w:space="0" w:color="000000"/>
            </w:tcBorders>
            <w:vAlign w:val="center"/>
            <w:hideMark/>
          </w:tcPr>
          <w:p w:rsidR="00326293" w:rsidRDefault="00326293">
            <w:pPr>
              <w:pStyle w:val="StandardWeb"/>
              <w:spacing w:after="0"/>
            </w:pPr>
            <w:r>
              <w:rPr>
                <w:b/>
                <w:bCs/>
                <w:color w:val="000000"/>
              </w:rPr>
              <w:t>ZAKONSKI STANDARD JAVNIH USTANOVA  SŠ</w:t>
            </w:r>
          </w:p>
          <w:p w:rsidR="00326293" w:rsidRDefault="00326293"/>
        </w:tc>
        <w:tc>
          <w:tcPr>
            <w:tcW w:w="0" w:type="auto"/>
            <w:gridSpan w:val="2"/>
            <w:tcBorders>
              <w:left w:val="single" w:sz="36" w:space="0" w:color="000000"/>
              <w:right w:val="single" w:sz="36" w:space="0" w:color="000000"/>
            </w:tcBorders>
            <w:hideMark/>
          </w:tcPr>
          <w:p w:rsidR="00326293" w:rsidRDefault="00326293"/>
        </w:tc>
      </w:tr>
      <w:tr w:rsidR="00326293" w:rsidTr="00326293">
        <w:trPr>
          <w:trHeight w:val="556"/>
        </w:trPr>
        <w:tc>
          <w:tcPr>
            <w:tcW w:w="0" w:type="auto"/>
            <w:tcBorders>
              <w:top w:val="single" w:sz="18" w:space="0" w:color="000000"/>
              <w:left w:val="single" w:sz="18" w:space="0" w:color="000000"/>
              <w:bottom w:val="single" w:sz="36" w:space="0" w:color="000000"/>
              <w:right w:val="single" w:sz="18" w:space="0" w:color="000000"/>
            </w:tcBorders>
            <w:vAlign w:val="center"/>
            <w:hideMark/>
          </w:tcPr>
          <w:p w:rsidR="00326293" w:rsidRDefault="00326293">
            <w:pPr>
              <w:pStyle w:val="StandardWeb"/>
              <w:spacing w:after="0"/>
            </w:pPr>
            <w:r>
              <w:rPr>
                <w:b/>
                <w:bCs/>
                <w:color w:val="000000"/>
              </w:rPr>
              <w:t>Aktivnost</w:t>
            </w:r>
          </w:p>
        </w:tc>
        <w:tc>
          <w:tcPr>
            <w:tcW w:w="0" w:type="auto"/>
            <w:tcBorders>
              <w:top w:val="single" w:sz="18" w:space="0" w:color="000000"/>
              <w:left w:val="single" w:sz="18" w:space="0" w:color="000000"/>
              <w:bottom w:val="single" w:sz="36" w:space="0" w:color="000000"/>
              <w:right w:val="single" w:sz="36" w:space="0" w:color="000000"/>
            </w:tcBorders>
            <w:vAlign w:val="center"/>
            <w:hideMark/>
          </w:tcPr>
          <w:p w:rsidR="00326293" w:rsidRDefault="00326293">
            <w:pPr>
              <w:pStyle w:val="StandardWeb"/>
              <w:spacing w:after="0"/>
            </w:pPr>
            <w:r>
              <w:rPr>
                <w:b/>
                <w:bCs/>
                <w:color w:val="000000"/>
              </w:rPr>
              <w:t>Aktivnost A100037: Odgojnoobraz., administrat. i teh. osoblje</w:t>
            </w:r>
          </w:p>
          <w:p w:rsidR="00326293" w:rsidRDefault="00326293">
            <w:pPr>
              <w:pStyle w:val="StandardWeb"/>
              <w:spacing w:after="0"/>
            </w:pPr>
            <w:r>
              <w:rPr>
                <w:b/>
                <w:bCs/>
                <w:color w:val="000000"/>
              </w:rPr>
              <w:t>Aktivnost  A100038: Operativni plan TIO SŠ</w:t>
            </w:r>
          </w:p>
          <w:p w:rsidR="00326293" w:rsidRDefault="00326293">
            <w:pPr>
              <w:pStyle w:val="StandardWeb"/>
              <w:spacing w:after="0"/>
            </w:pPr>
            <w:r>
              <w:rPr>
                <w:b/>
                <w:bCs/>
                <w:color w:val="000000"/>
              </w:rPr>
              <w:t>Aktivnost A100039: Prehrana i smještaj - učenički domovi</w:t>
            </w:r>
          </w:p>
          <w:p w:rsidR="00326293" w:rsidRPr="005A0355" w:rsidRDefault="002D393C" w:rsidP="002D393C">
            <w:pPr>
              <w:rPr>
                <w:rFonts w:ascii="Times New Roman" w:hAnsi="Times New Roman" w:cs="Times New Roman"/>
                <w:b/>
                <w:sz w:val="24"/>
                <w:szCs w:val="24"/>
              </w:rPr>
            </w:pPr>
            <w:r w:rsidRPr="005A0355">
              <w:rPr>
                <w:rFonts w:ascii="Times New Roman" w:hAnsi="Times New Roman" w:cs="Times New Roman"/>
                <w:b/>
                <w:sz w:val="24"/>
                <w:szCs w:val="24"/>
              </w:rPr>
              <w:t xml:space="preserve">Aktivnost K100004: </w:t>
            </w:r>
            <w:proofErr w:type="spellStart"/>
            <w:r w:rsidRPr="005A0355">
              <w:rPr>
                <w:rFonts w:ascii="Times New Roman" w:hAnsi="Times New Roman" w:cs="Times New Roman"/>
                <w:b/>
                <w:sz w:val="24"/>
                <w:szCs w:val="24"/>
              </w:rPr>
              <w:t>Nefinan.imovina</w:t>
            </w:r>
            <w:proofErr w:type="spellEnd"/>
            <w:r w:rsidRPr="005A0355">
              <w:rPr>
                <w:rFonts w:ascii="Times New Roman" w:hAnsi="Times New Roman" w:cs="Times New Roman"/>
                <w:b/>
                <w:sz w:val="24"/>
                <w:szCs w:val="24"/>
              </w:rPr>
              <w:t xml:space="preserve"> i </w:t>
            </w:r>
            <w:proofErr w:type="spellStart"/>
            <w:r w:rsidRPr="005A0355">
              <w:rPr>
                <w:rFonts w:ascii="Times New Roman" w:hAnsi="Times New Roman" w:cs="Times New Roman"/>
                <w:b/>
                <w:sz w:val="24"/>
                <w:szCs w:val="24"/>
              </w:rPr>
              <w:t>invest</w:t>
            </w:r>
            <w:proofErr w:type="spellEnd"/>
            <w:r w:rsidRPr="005A0355">
              <w:rPr>
                <w:rFonts w:ascii="Times New Roman" w:hAnsi="Times New Roman" w:cs="Times New Roman"/>
                <w:b/>
                <w:sz w:val="24"/>
                <w:szCs w:val="24"/>
              </w:rPr>
              <w:t xml:space="preserve">. </w:t>
            </w:r>
            <w:proofErr w:type="spellStart"/>
            <w:r w:rsidRPr="005A0355">
              <w:rPr>
                <w:rFonts w:ascii="Times New Roman" w:hAnsi="Times New Roman" w:cs="Times New Roman"/>
                <w:b/>
                <w:sz w:val="24"/>
                <w:szCs w:val="24"/>
              </w:rPr>
              <w:t>održ.SŠ</w:t>
            </w:r>
            <w:proofErr w:type="spellEnd"/>
            <w:r w:rsidRPr="005A0355">
              <w:rPr>
                <w:rFonts w:ascii="Times New Roman" w:hAnsi="Times New Roman" w:cs="Times New Roman"/>
                <w:sz w:val="24"/>
                <w:szCs w:val="24"/>
              </w:rPr>
              <w:t xml:space="preserve"> </w:t>
            </w:r>
          </w:p>
        </w:tc>
        <w:tc>
          <w:tcPr>
            <w:tcW w:w="0" w:type="auto"/>
            <w:gridSpan w:val="2"/>
            <w:tcBorders>
              <w:left w:val="single" w:sz="36" w:space="0" w:color="000000"/>
              <w:right w:val="single" w:sz="36" w:space="0" w:color="000000"/>
            </w:tcBorders>
            <w:hideMark/>
          </w:tcPr>
          <w:p w:rsidR="00326293" w:rsidRDefault="00326293"/>
        </w:tc>
      </w:tr>
      <w:tr w:rsidR="00326293" w:rsidTr="00326293">
        <w:trPr>
          <w:trHeight w:val="1593"/>
        </w:trPr>
        <w:tc>
          <w:tcPr>
            <w:tcW w:w="0" w:type="auto"/>
            <w:tcBorders>
              <w:top w:val="single" w:sz="36"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b/>
                <w:bCs/>
                <w:color w:val="000000"/>
              </w:rPr>
              <w:t>OPĆI CILJ</w:t>
            </w:r>
          </w:p>
        </w:tc>
        <w:tc>
          <w:tcPr>
            <w:tcW w:w="0" w:type="auto"/>
            <w:tcBorders>
              <w:top w:val="single" w:sz="36"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360"/>
              <w:jc w:val="both"/>
            </w:pPr>
            <w:r>
              <w:rPr>
                <w:color w:val="000000"/>
              </w:rPr>
              <w:t>Primarna zadaća Doma je ostvarivanje odgojno-obrazovnih ciljeva kako bi učenici uspješno i pravovremeno završili školovanje i osposobili se za zanimanje koje su odabrali.</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552"/>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POSEBNI CILJEVI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color w:val="000000"/>
              </w:rPr>
              <w:t>Ostvarenje odgojno – obrazovnih ciljeva, kurikularno planiranje i programiranje odg.-obraz. rada, unapređenje odgojno-obrazovnog procesa, poboljšanje pedagoškog standarda, kulturna i javna djelatnost i promidžba Doma u cijelosti, stručno usavršavanje djelatnika, kvalitetno planiranje, odgovorno poslovanje</w:t>
            </w:r>
          </w:p>
          <w:p w:rsidR="00326293" w:rsidRDefault="00326293">
            <w:pPr>
              <w:pStyle w:val="StandardWeb"/>
              <w:shd w:val="clear" w:color="auto" w:fill="FFFFFF"/>
              <w:spacing w:after="0"/>
              <w:ind w:right="170"/>
              <w:jc w:val="both"/>
            </w:pPr>
            <w:r>
              <w:t> </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557"/>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ZAKONSKA OSNOVA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color w:val="000000"/>
              </w:rPr>
              <w:t>Zakon o odgoju i obrazovanju u osnovnoj i srednjoj školi (NN br. 87/08, 86/09, 92/10, 105/10, 90/11, 5/12, 16/12, 86/12, 126/12 , 94/13, 152/14, 07/17, 68/18, 98/19, 64/20), Zakon o ustanovama (NN br. 76/93, 29/97,</w:t>
            </w:r>
          </w:p>
          <w:p w:rsidR="00326293" w:rsidRDefault="00326293">
            <w:pPr>
              <w:pStyle w:val="StandardWeb"/>
              <w:spacing w:after="0"/>
              <w:jc w:val="both"/>
            </w:pPr>
            <w:r>
              <w:rPr>
                <w:color w:val="000000"/>
              </w:rPr>
              <w:t> 47/99, 35/08, 127/19</w:t>
            </w:r>
            <w:r w:rsidR="00924FC8" w:rsidRPr="00C7675B">
              <w:rPr>
                <w:color w:val="000000"/>
              </w:rPr>
              <w:t>), Statut doma (Klasa: 003-08/20-01/05, Ur.br.: 2133-55-05/1-20</w:t>
            </w:r>
            <w:r w:rsidRPr="00C7675B">
              <w:rPr>
                <w:color w:val="000000"/>
              </w:rPr>
              <w:t>-01</w:t>
            </w:r>
            <w:r>
              <w:rPr>
                <w:color w:val="000000"/>
              </w:rPr>
              <w:t xml:space="preserve">), Zakon o proračunu (NN br. 87/08, 136/12, 15/15), Pravilnik o proračunskom računovodstvu i računskom planu (NN br. 115/15, 87/16, 03/18, 126/19), Pravilnik o proračunskim klasifikacijama (NN br. 26/10, 120/13, 1/20), Pravilnik o financijskom izvještavanju u proračunskom računovodstvu (NN br. 3/15, 93/15, 135/15, 02/17, 28/17, 112/18, 126/19), Zakon o fiskalnoj odgovornosti (NN br. 139/10, 19/14, 111/18), te Uredbi o sastavljanju i predaji Izjave o fiskalnoj odgovornosti i izvještaja o primjeni fiskalnih pravila (NN br. 78/11, 106/12, 130/13, 19/15 i </w:t>
            </w:r>
            <w:r>
              <w:rPr>
                <w:color w:val="000000"/>
              </w:rPr>
              <w:lastRenderedPageBreak/>
              <w:t>119/15, 95/19), Upute za izradu proračuna Karlovačke županije za razdoblje 2021. - 2023. godine, Financijski plan materijalnih i financijskih rashoda za srednje škole i učeničke domove, Operativni plan investicijskih ulaganja u srednje škole i učeničke domove, Plan kapitalnih projekata u</w:t>
            </w:r>
          </w:p>
          <w:p w:rsidR="00326293" w:rsidRDefault="00326293" w:rsidP="00A77CB8">
            <w:pPr>
              <w:pStyle w:val="StandardWeb"/>
              <w:spacing w:after="0"/>
              <w:jc w:val="both"/>
            </w:pPr>
            <w:r>
              <w:rPr>
                <w:color w:val="000000"/>
              </w:rPr>
              <w:t> srednjim školama i učeničkim domovima, Godišnji  plan i pro</w:t>
            </w:r>
            <w:r w:rsidR="00924FC8">
              <w:rPr>
                <w:color w:val="000000"/>
              </w:rPr>
              <w:t xml:space="preserve">gram rada za školsku godinu </w:t>
            </w:r>
            <w:r w:rsidR="00924FC8" w:rsidRPr="0098696C">
              <w:rPr>
                <w:color w:val="000000"/>
              </w:rPr>
              <w:t>2020</w:t>
            </w:r>
            <w:r w:rsidRPr="0098696C">
              <w:rPr>
                <w:color w:val="000000"/>
              </w:rPr>
              <w:t>./202</w:t>
            </w:r>
            <w:r w:rsidR="00924FC8" w:rsidRPr="0098696C">
              <w:rPr>
                <w:color w:val="000000"/>
              </w:rPr>
              <w:t>1</w:t>
            </w:r>
            <w:r w:rsidR="00924FC8">
              <w:rPr>
                <w:color w:val="000000"/>
              </w:rPr>
              <w:t>.</w:t>
            </w:r>
            <w:r>
              <w:rPr>
                <w:color w:val="000000"/>
              </w:rPr>
              <w:t>, Uredba o načinu izračuna iznosa pomoći izravnanja za decentralizirane funkcije jedinica   lokalne i područne (regionalne) samouprave (NN, broj 15/15, 128/19), Odluka Vlade RH o kriterijima i mjerilima za utvrđivanje bilančnih prava za financiranje minimalnog financijskog standarda javnih potreba  srednjih</w:t>
            </w:r>
            <w:r w:rsidR="00924FC8">
              <w:rPr>
                <w:color w:val="000000"/>
              </w:rPr>
              <w:t xml:space="preserve"> škola i učeničkih domova u </w:t>
            </w:r>
            <w:r w:rsidR="00924FC8" w:rsidRPr="0098696C">
              <w:rPr>
                <w:color w:val="000000"/>
              </w:rPr>
              <w:t>2021</w:t>
            </w:r>
            <w:r w:rsidRPr="0098696C">
              <w:rPr>
                <w:color w:val="000000"/>
              </w:rPr>
              <w:t xml:space="preserve">. g. (NN, broj </w:t>
            </w:r>
            <w:r w:rsidR="00924FC8" w:rsidRPr="0098696C">
              <w:rPr>
                <w:color w:val="000000"/>
              </w:rPr>
              <w:t>148/2020</w:t>
            </w:r>
            <w:r w:rsidRPr="0098696C">
              <w:rPr>
                <w:color w:val="000000"/>
              </w:rPr>
              <w:t>),</w:t>
            </w:r>
            <w:r>
              <w:rPr>
                <w:color w:val="000000"/>
              </w:rPr>
              <w:t xml:space="preserve"> Državni pedagoški standard srednjoškolskog sustava odgoja i obrazovanja (NN, broj 63/08, 90/10), Odluka o kriterijima i mjerilima za</w:t>
            </w:r>
            <w:r w:rsidR="00A77CB8">
              <w:rPr>
                <w:color w:val="000000"/>
              </w:rPr>
              <w:t xml:space="preserve"> financiranje decentraliziranih</w:t>
            </w:r>
            <w:r w:rsidR="00A77CB8">
              <w:t xml:space="preserve"> </w:t>
            </w:r>
            <w:r>
              <w:rPr>
                <w:color w:val="000000"/>
              </w:rPr>
              <w:t>funkcija u srednjim školama koju donosi skupština Županije (</w:t>
            </w:r>
            <w:r w:rsidRPr="00A77CB8">
              <w:rPr>
                <w:color w:val="000000"/>
              </w:rPr>
              <w:t xml:space="preserve">Glasnik KŽ </w:t>
            </w:r>
            <w:r w:rsidR="00A77CB8" w:rsidRPr="00A77CB8">
              <w:rPr>
                <w:color w:val="000000"/>
              </w:rPr>
              <w:t>67b/20</w:t>
            </w:r>
            <w:r w:rsidRPr="00A77CB8">
              <w:rPr>
                <w:color w:val="000000"/>
              </w:rPr>
              <w:t>)</w:t>
            </w:r>
            <w:r>
              <w:rPr>
                <w:color w:val="000000"/>
              </w:rPr>
              <w:t>, Plan rashoda za nabavu proizvedene dugotrajne imovine i dodatna ulaganja na nefinancijskoj imovini u SŠ na području KŽ.</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2697"/>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ISHODIŠTE I POKAZATELJI NA KOJIMA SE ZASNIVAJU IZRAČUNI I SREDSTVA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color w:val="000000"/>
              </w:rPr>
              <w:t xml:space="preserve">Odluka Vlade o kriterijima i mjerilima za utvrđivanje bilančnih prava za financiranje minimalnog financijskog standarda javnih potreba srednjih škola i učeničkih domova (NN </w:t>
            </w:r>
            <w:r w:rsidR="00924FC8">
              <w:rPr>
                <w:color w:val="000000"/>
              </w:rPr>
              <w:t>148/2020</w:t>
            </w:r>
            <w:r>
              <w:rPr>
                <w:color w:val="000000"/>
              </w:rPr>
              <w:t>), </w:t>
            </w:r>
          </w:p>
          <w:p w:rsidR="00326293" w:rsidRDefault="00326293">
            <w:pPr>
              <w:pStyle w:val="StandardWeb"/>
              <w:spacing w:after="0"/>
              <w:jc w:val="both"/>
            </w:pPr>
            <w:r>
              <w:rPr>
                <w:color w:val="000000"/>
              </w:rPr>
              <w:t>Smjernice Ministarstva financija, </w:t>
            </w:r>
          </w:p>
          <w:p w:rsidR="00326293" w:rsidRDefault="00326293" w:rsidP="00A77CB8">
            <w:pPr>
              <w:pStyle w:val="StandardWeb"/>
              <w:spacing w:after="0"/>
              <w:jc w:val="both"/>
            </w:pPr>
            <w:r>
              <w:rPr>
                <w:color w:val="000000"/>
              </w:rPr>
              <w:t xml:space="preserve">Upute za izradu Proračuna Karlovačke županije za razdoblje 2021. - 2023,  </w:t>
            </w:r>
            <w:r w:rsidRPr="00A77CB8">
              <w:rPr>
                <w:color w:val="000000"/>
              </w:rPr>
              <w:t xml:space="preserve">Odluka o kriterijima, mjerilima i načinu financiranja decentraliziranih funkcija u 2020. g., kojima je Karlovačka županija osnivač (Glasnik KŽ </w:t>
            </w:r>
            <w:r w:rsidR="00A77CB8" w:rsidRPr="00A77CB8">
              <w:rPr>
                <w:color w:val="000000"/>
              </w:rPr>
              <w:t>67b/20</w:t>
            </w:r>
            <w:r w:rsidRPr="00A77CB8">
              <w:rPr>
                <w:color w:val="000000"/>
              </w:rPr>
              <w:t>).</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1550"/>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NAČIN I SREDSTVA ZA REALIZACIJU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right="227"/>
              <w:jc w:val="both"/>
            </w:pPr>
            <w:r>
              <w:rPr>
                <w:color w:val="000000"/>
              </w:rPr>
              <w:t>      Cijena smještaja i prehrane učenika u učeničkom domu iznosi 1.260,00 kuna, od čega 50% financiraju roditelji, a 50% sufinancira Karlovačke županija.</w:t>
            </w:r>
          </w:p>
          <w:p w:rsidR="00326293" w:rsidRDefault="00326293">
            <w:pPr>
              <w:pStyle w:val="StandardWeb"/>
              <w:spacing w:after="0"/>
              <w:ind w:right="227"/>
              <w:jc w:val="both"/>
            </w:pPr>
            <w:r>
              <w:rPr>
                <w:color w:val="000000"/>
              </w:rPr>
              <w:t>Učenički dom Karlovac ima kapacitet za 152 učenika, koliko smo i upisali ove školske godine.</w:t>
            </w:r>
          </w:p>
          <w:p w:rsidR="00326293" w:rsidRDefault="00326293">
            <w:pPr>
              <w:pStyle w:val="StandardWeb"/>
              <w:spacing w:after="0"/>
              <w:ind w:right="227"/>
              <w:jc w:val="both"/>
            </w:pPr>
            <w:r>
              <w:rPr>
                <w:color w:val="000000"/>
              </w:rPr>
              <w:t xml:space="preserve">    Prihodi na poziciji sufinanciranja smještaja i prehrane, po uputama Karlovačke županije </w:t>
            </w:r>
            <w:r>
              <w:rPr>
                <w:color w:val="000000"/>
              </w:rPr>
              <w:lastRenderedPageBreak/>
              <w:t>za</w:t>
            </w:r>
            <w:r w:rsidR="00924FC8">
              <w:rPr>
                <w:color w:val="000000"/>
              </w:rPr>
              <w:t xml:space="preserve"> izradu projekcije plana za 2021</w:t>
            </w:r>
            <w:r>
              <w:rPr>
                <w:color w:val="000000"/>
              </w:rPr>
              <w:t>. g. rađeni su na izračunu 152 učenik x 630,00 kn x 10 mjeseci, što iznosi 957.600,00 kn i prikazano je na aktivnosti A100039.</w:t>
            </w:r>
          </w:p>
          <w:p w:rsidR="00326293" w:rsidRDefault="00326293">
            <w:pPr>
              <w:pStyle w:val="StandardWeb"/>
              <w:spacing w:after="0"/>
              <w:ind w:right="227"/>
              <w:jc w:val="both"/>
            </w:pPr>
            <w:r>
              <w:rPr>
                <w:color w:val="000000"/>
              </w:rPr>
              <w:t>Navedeni prihodi koriste se za financiranje prehrane učenika, plaćanje troškova materijala za čišćenje, higijenskog materijala, troškova energije, vode.</w:t>
            </w:r>
          </w:p>
          <w:p w:rsidR="00326293" w:rsidRDefault="00326293">
            <w:pPr>
              <w:pStyle w:val="StandardWeb"/>
              <w:spacing w:after="0"/>
              <w:ind w:right="227"/>
              <w:jc w:val="both"/>
            </w:pPr>
            <w:r>
              <w:rPr>
                <w:color w:val="000000"/>
              </w:rPr>
              <w:t xml:space="preserve">Na poziciji A100038 prikazani su troškovi za tekuće i investicijsko održavanje- operativni plan – u iznosu od </w:t>
            </w:r>
            <w:r w:rsidR="003B0F87">
              <w:rPr>
                <w:color w:val="000000"/>
              </w:rPr>
              <w:t>45</w:t>
            </w:r>
            <w:r>
              <w:rPr>
                <w:color w:val="000000"/>
              </w:rPr>
              <w:t>.000,00 kn.</w:t>
            </w:r>
          </w:p>
          <w:p w:rsidR="00326293" w:rsidRDefault="00326293" w:rsidP="003B0F87">
            <w:pPr>
              <w:pStyle w:val="StandardWeb"/>
              <w:spacing w:after="0"/>
              <w:ind w:right="227"/>
              <w:jc w:val="both"/>
              <w:rPr>
                <w:color w:val="000000"/>
              </w:rPr>
            </w:pPr>
            <w:r>
              <w:rPr>
                <w:color w:val="000000"/>
              </w:rPr>
              <w:t>Na poziciji A100037 prikazani su troškovi za zdravstvene usluge, refundaciju redovnih zakonskih kontrola i pedagoške dokumentacije, te prijevoza djelatnika na posao i s posla. Za  2021. g. iznos je 14</w:t>
            </w:r>
            <w:r w:rsidR="003B0F87">
              <w:rPr>
                <w:color w:val="000000"/>
              </w:rPr>
              <w:t>6</w:t>
            </w:r>
            <w:r>
              <w:rPr>
                <w:color w:val="000000"/>
              </w:rPr>
              <w:t>.000,00 kn..  </w:t>
            </w:r>
          </w:p>
          <w:p w:rsidR="003B0F87" w:rsidRDefault="003B0F87" w:rsidP="003B0F87">
            <w:pPr>
              <w:pStyle w:val="StandardWeb"/>
              <w:spacing w:after="0"/>
              <w:ind w:right="227"/>
              <w:jc w:val="both"/>
            </w:pPr>
            <w:r>
              <w:rPr>
                <w:color w:val="000000"/>
              </w:rPr>
              <w:t>Na poziciji K100004 prikazan je iznos sufinanciranja Karlovačke županije od 100.000,00 kn, za fasadu.</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701"/>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RAZLOG ODSTUPANJA OD PROŠLOGODIŠNJIH PROJEKCIJA</w:t>
            </w:r>
            <w:r>
              <w:rPr>
                <w:color w:val="000000"/>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Pr="000A5775" w:rsidRDefault="000A5775" w:rsidP="000A5775">
            <w:pPr>
              <w:rPr>
                <w:rFonts w:ascii="Times New Roman" w:hAnsi="Times New Roman" w:cs="Times New Roman"/>
                <w:sz w:val="24"/>
                <w:szCs w:val="24"/>
              </w:rPr>
            </w:pPr>
            <w:r w:rsidRPr="000A5775">
              <w:rPr>
                <w:rFonts w:ascii="Times New Roman" w:hAnsi="Times New Roman" w:cs="Times New Roman"/>
                <w:sz w:val="24"/>
                <w:szCs w:val="24"/>
              </w:rPr>
              <w:t xml:space="preserve">Iznos planiranih sredstava ostao je isti, samo je unutar aktivnosti A100037 došlo do prebacivanja manjih iznosa sa pozicije, gdje je ostalo, na poziciju gdje će se potrošiti ta sredstva. Sav višak sa pedagoške, zdravstvenih usluga, analize i </w:t>
            </w:r>
            <w:proofErr w:type="spellStart"/>
            <w:r w:rsidRPr="000A5775">
              <w:rPr>
                <w:rFonts w:ascii="Times New Roman" w:hAnsi="Times New Roman" w:cs="Times New Roman"/>
                <w:sz w:val="24"/>
                <w:szCs w:val="24"/>
              </w:rPr>
              <w:t>briseva</w:t>
            </w:r>
            <w:proofErr w:type="spellEnd"/>
            <w:r w:rsidRPr="000A5775">
              <w:rPr>
                <w:rFonts w:ascii="Times New Roman" w:hAnsi="Times New Roman" w:cs="Times New Roman"/>
                <w:sz w:val="24"/>
                <w:szCs w:val="24"/>
              </w:rPr>
              <w:t>, prebačeni su na redovne kontrole.</w:t>
            </w:r>
          </w:p>
        </w:tc>
        <w:tc>
          <w:tcPr>
            <w:tcW w:w="0" w:type="auto"/>
            <w:tcBorders>
              <w:left w:val="single" w:sz="4" w:space="0" w:color="000000"/>
            </w:tcBorders>
            <w:hideMark/>
          </w:tcPr>
          <w:p w:rsidR="00326293" w:rsidRDefault="00326293"/>
        </w:tc>
        <w:tc>
          <w:tcPr>
            <w:tcW w:w="0" w:type="auto"/>
            <w:hideMark/>
          </w:tcPr>
          <w:p w:rsidR="00326293" w:rsidRDefault="00326293"/>
        </w:tc>
      </w:tr>
      <w:tr w:rsidR="00326293" w:rsidTr="00326293">
        <w:trPr>
          <w:trHeight w:val="825"/>
        </w:trPr>
        <w:tc>
          <w:tcPr>
            <w:tcW w:w="0" w:type="auto"/>
            <w:tcBorders>
              <w:top w:val="single" w:sz="4" w:space="0" w:color="000000"/>
              <w:left w:val="single" w:sz="4" w:space="0" w:color="000000"/>
              <w:bottom w:val="single" w:sz="36" w:space="0" w:color="000000"/>
              <w:right w:val="single" w:sz="4" w:space="0" w:color="000000"/>
            </w:tcBorders>
            <w:vAlign w:val="center"/>
            <w:hideMark/>
          </w:tcPr>
          <w:p w:rsidR="00326293" w:rsidRDefault="00326293">
            <w:pPr>
              <w:pStyle w:val="StandardWeb"/>
              <w:spacing w:after="0"/>
            </w:pPr>
            <w:r>
              <w:rPr>
                <w:b/>
                <w:bCs/>
                <w:color w:val="000000"/>
              </w:rPr>
              <w:t>POKAZATELJI USPJEŠNOSTI</w:t>
            </w:r>
          </w:p>
        </w:tc>
        <w:tc>
          <w:tcPr>
            <w:tcW w:w="0" w:type="auto"/>
            <w:tcBorders>
              <w:top w:val="single" w:sz="4" w:space="0" w:color="000000"/>
              <w:left w:val="single" w:sz="4" w:space="0" w:color="000000"/>
              <w:bottom w:val="single" w:sz="36" w:space="0" w:color="000000"/>
              <w:right w:val="single" w:sz="4" w:space="0" w:color="000000"/>
            </w:tcBorders>
            <w:hideMark/>
          </w:tcPr>
          <w:p w:rsidR="00326293" w:rsidRDefault="00326293" w:rsidP="004F4605">
            <w:pPr>
              <w:pStyle w:val="StandardWeb"/>
              <w:spacing w:after="0"/>
              <w:jc w:val="both"/>
            </w:pPr>
            <w:r>
              <w:rPr>
                <w:color w:val="000000"/>
              </w:rPr>
              <w:t>Dom svake godine upisuje 152 učenika su</w:t>
            </w:r>
            <w:r w:rsidR="00924FC8">
              <w:rPr>
                <w:color w:val="000000"/>
              </w:rPr>
              <w:t xml:space="preserve">kladno kapacitetu. Do </w:t>
            </w:r>
            <w:r w:rsidR="004F4605">
              <w:rPr>
                <w:color w:val="000000"/>
              </w:rPr>
              <w:t>27.08</w:t>
            </w:r>
            <w:r w:rsidR="00924FC8">
              <w:rPr>
                <w:color w:val="000000"/>
              </w:rPr>
              <w:t>. 2021</w:t>
            </w:r>
            <w:r>
              <w:rPr>
                <w:color w:val="000000"/>
              </w:rPr>
              <w:t>. godine uspješno je završilo razred 15</w:t>
            </w:r>
            <w:r w:rsidR="004F4605">
              <w:rPr>
                <w:color w:val="000000"/>
              </w:rPr>
              <w:t>2</w:t>
            </w:r>
            <w:r>
              <w:rPr>
                <w:color w:val="000000"/>
              </w:rPr>
              <w:t xml:space="preserve"> učenika, odnosno </w:t>
            </w:r>
            <w:r w:rsidR="004F4605">
              <w:rPr>
                <w:color w:val="000000"/>
              </w:rPr>
              <w:t xml:space="preserve">100,00%, </w:t>
            </w:r>
            <w:r>
              <w:rPr>
                <w:color w:val="000000"/>
              </w:rPr>
              <w:t>  Zbog aktualne  epidemije virusa COVID-19, sva takmičenja su otkazana, kao i regionalna i državna domijada.</w:t>
            </w:r>
          </w:p>
        </w:tc>
        <w:tc>
          <w:tcPr>
            <w:tcW w:w="0" w:type="auto"/>
            <w:tcBorders>
              <w:left w:val="single" w:sz="4" w:space="0" w:color="000000"/>
            </w:tcBorders>
            <w:hideMark/>
          </w:tcPr>
          <w:p w:rsidR="00326293" w:rsidRDefault="00326293"/>
        </w:tc>
        <w:tc>
          <w:tcPr>
            <w:tcW w:w="0" w:type="auto"/>
            <w:hideMark/>
          </w:tcPr>
          <w:p w:rsidR="00326293" w:rsidRDefault="00326293"/>
        </w:tc>
      </w:tr>
    </w:tbl>
    <w:p w:rsidR="00326293" w:rsidRDefault="00326293" w:rsidP="00326293"/>
    <w:tbl>
      <w:tblPr>
        <w:tblW w:w="0" w:type="auto"/>
        <w:tblCellMar>
          <w:top w:w="15" w:type="dxa"/>
          <w:left w:w="15" w:type="dxa"/>
          <w:bottom w:w="15" w:type="dxa"/>
          <w:right w:w="15" w:type="dxa"/>
        </w:tblCellMar>
        <w:tblLook w:val="04A0" w:firstRow="1" w:lastRow="0" w:firstColumn="1" w:lastColumn="0" w:noHBand="0" w:noVBand="1"/>
      </w:tblPr>
      <w:tblGrid>
        <w:gridCol w:w="2642"/>
        <w:gridCol w:w="6420"/>
      </w:tblGrid>
      <w:tr w:rsidR="00326293" w:rsidTr="003262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NAZIV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MZO-PLAĆE U SŠ</w:t>
            </w:r>
          </w:p>
        </w:tc>
      </w:tr>
      <w:tr w:rsidR="00326293" w:rsidTr="003262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AKTIVNOST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Aktivnost A200201: MZO- plaće u SŠ</w:t>
            </w:r>
          </w:p>
        </w:tc>
      </w:tr>
      <w:tr w:rsidR="00326293" w:rsidTr="0032629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pPr>
              <w:pStyle w:val="StandardWeb"/>
              <w:spacing w:after="120"/>
            </w:pPr>
            <w:r>
              <w:rPr>
                <w:b/>
                <w:bCs/>
                <w:color w:val="000000"/>
              </w:rPr>
              <w:t>NAČIN I SREDSTVA ZA REALIZACIJU PROGRAMA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26293" w:rsidRDefault="00326293" w:rsidP="003B0F87">
            <w:pPr>
              <w:pStyle w:val="StandardWeb"/>
              <w:spacing w:after="120"/>
            </w:pPr>
            <w:r>
              <w:rPr>
                <w:color w:val="000000"/>
              </w:rPr>
              <w:t>Planirana su sredstva za isplatu plaća djelatnicima, ostalih naknada i doprinosa na plaću, u iznosu od 3.</w:t>
            </w:r>
            <w:r w:rsidR="003B0F87">
              <w:rPr>
                <w:color w:val="000000"/>
              </w:rPr>
              <w:t>905</w:t>
            </w:r>
            <w:r>
              <w:rPr>
                <w:color w:val="000000"/>
              </w:rPr>
              <w:t>.000,00 kn. Veća su u odnosu na prošlu godinu zbog povećanja plaća i ukalkuliranih plaća po sudskim presudama, povećanje osnovice 6%, za period 12/15 do 01/17 i pripadajućih kamata.</w:t>
            </w:r>
          </w:p>
        </w:tc>
      </w:tr>
    </w:tbl>
    <w:p w:rsidR="00326293" w:rsidRDefault="00326293" w:rsidP="00326293"/>
    <w:tbl>
      <w:tblPr>
        <w:tblW w:w="0" w:type="auto"/>
        <w:tblCellMar>
          <w:top w:w="15" w:type="dxa"/>
          <w:left w:w="15" w:type="dxa"/>
          <w:bottom w:w="15" w:type="dxa"/>
          <w:right w:w="15" w:type="dxa"/>
        </w:tblCellMar>
        <w:tblLook w:val="04A0" w:firstRow="1" w:lastRow="0" w:firstColumn="1" w:lastColumn="0" w:noHBand="0" w:noVBand="1"/>
      </w:tblPr>
      <w:tblGrid>
        <w:gridCol w:w="3484"/>
        <w:gridCol w:w="5424"/>
        <w:gridCol w:w="96"/>
      </w:tblGrid>
      <w:tr w:rsidR="00326293" w:rsidTr="00326293">
        <w:trPr>
          <w:trHeight w:val="555"/>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lastRenderedPageBreak/>
              <w:t>  NAZIV PROGRAMA</w:t>
            </w:r>
          </w:p>
        </w:tc>
        <w:tc>
          <w:tcPr>
            <w:tcW w:w="0" w:type="auto"/>
            <w:tcBorders>
              <w:top w:val="single" w:sz="18" w:space="0" w:color="000000"/>
              <w:left w:val="single" w:sz="18" w:space="0" w:color="000000"/>
              <w:bottom w:val="single" w:sz="18" w:space="0" w:color="000000"/>
              <w:right w:val="single" w:sz="36" w:space="0" w:color="000000"/>
            </w:tcBorders>
            <w:vAlign w:val="center"/>
            <w:hideMark/>
          </w:tcPr>
          <w:p w:rsidR="00326293" w:rsidRDefault="00326293">
            <w:pPr>
              <w:pStyle w:val="StandardWeb"/>
              <w:spacing w:after="0"/>
            </w:pPr>
            <w:r>
              <w:rPr>
                <w:b/>
                <w:bCs/>
                <w:color w:val="000000"/>
              </w:rPr>
              <w:t>  JAVNE POTREBE IZNAD ZAKONSKOG STANDARDA U SREDNJEM ŠKOLSTVU</w:t>
            </w:r>
          </w:p>
          <w:p w:rsidR="00326293" w:rsidRDefault="00326293"/>
        </w:tc>
        <w:tc>
          <w:tcPr>
            <w:tcW w:w="0" w:type="auto"/>
            <w:tcBorders>
              <w:left w:val="single" w:sz="36" w:space="0" w:color="000000"/>
              <w:bottom w:val="single" w:sz="18" w:space="0" w:color="000000"/>
              <w:right w:val="single" w:sz="36" w:space="0" w:color="000000"/>
            </w:tcBorders>
            <w:hideMark/>
          </w:tcPr>
          <w:p w:rsidR="00326293" w:rsidRDefault="00326293"/>
        </w:tc>
      </w:tr>
      <w:tr w:rsidR="00326293" w:rsidTr="00326293">
        <w:trPr>
          <w:trHeight w:val="556"/>
        </w:trPr>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AKTIVNOST</w:t>
            </w:r>
          </w:p>
        </w:tc>
        <w:tc>
          <w:tcPr>
            <w:tcW w:w="0" w:type="auto"/>
            <w:tcBorders>
              <w:top w:val="single" w:sz="18" w:space="0" w:color="000000"/>
              <w:left w:val="single" w:sz="18" w:space="0" w:color="000000"/>
              <w:bottom w:val="single" w:sz="18" w:space="0" w:color="000000"/>
              <w:right w:val="single" w:sz="18" w:space="0" w:color="000000"/>
            </w:tcBorders>
            <w:vAlign w:val="center"/>
            <w:hideMark/>
          </w:tcPr>
          <w:p w:rsidR="00326293" w:rsidRDefault="00326293">
            <w:pPr>
              <w:pStyle w:val="StandardWeb"/>
              <w:spacing w:after="0"/>
            </w:pPr>
            <w:r>
              <w:rPr>
                <w:b/>
                <w:bCs/>
                <w:color w:val="000000"/>
              </w:rPr>
              <w:t>Aktivnost A100042: Javne potrebe iznad standarda – vlastiti prihodi</w:t>
            </w:r>
          </w:p>
          <w:p w:rsidR="0098696C" w:rsidRDefault="00326293">
            <w:pPr>
              <w:pStyle w:val="StandardWeb"/>
              <w:spacing w:after="0"/>
              <w:jc w:val="both"/>
              <w:rPr>
                <w:b/>
                <w:bCs/>
                <w:color w:val="000000"/>
              </w:rPr>
            </w:pPr>
            <w:r>
              <w:rPr>
                <w:b/>
                <w:bCs/>
                <w:color w:val="000000"/>
              </w:rPr>
              <w:t xml:space="preserve">Aktivnost A100161A-Uplata učenika za smještaj i prehranu                      </w:t>
            </w:r>
          </w:p>
          <w:p w:rsidR="00326293" w:rsidRDefault="00326293">
            <w:pPr>
              <w:pStyle w:val="StandardWeb"/>
              <w:spacing w:after="0"/>
              <w:jc w:val="both"/>
            </w:pPr>
            <w:r>
              <w:rPr>
                <w:b/>
                <w:bCs/>
                <w:color w:val="000000"/>
              </w:rPr>
              <w:t>Aktivnost A100142B– Prihodi od nefinancijske imovine i nadoknade šteta s osnova osiguranja</w:t>
            </w:r>
          </w:p>
          <w:p w:rsidR="00326293" w:rsidRPr="00032AA7" w:rsidRDefault="00032AA7">
            <w:pPr>
              <w:rPr>
                <w:rFonts w:ascii="Times New Roman" w:hAnsi="Times New Roman" w:cs="Times New Roman"/>
                <w:b/>
                <w:sz w:val="24"/>
                <w:szCs w:val="24"/>
              </w:rPr>
            </w:pPr>
            <w:proofErr w:type="spellStart"/>
            <w:r w:rsidRPr="00032AA7">
              <w:rPr>
                <w:rFonts w:ascii="Times New Roman" w:hAnsi="Times New Roman" w:cs="Times New Roman"/>
                <w:b/>
                <w:sz w:val="24"/>
                <w:szCs w:val="24"/>
              </w:rPr>
              <w:t>Akrivnost</w:t>
            </w:r>
            <w:proofErr w:type="spellEnd"/>
            <w:r w:rsidRPr="00032AA7">
              <w:rPr>
                <w:rFonts w:ascii="Times New Roman" w:hAnsi="Times New Roman" w:cs="Times New Roman"/>
                <w:b/>
                <w:sz w:val="24"/>
                <w:szCs w:val="24"/>
              </w:rPr>
              <w:t xml:space="preserve">: A100162A – Prijenos sred. </w:t>
            </w:r>
            <w:r>
              <w:rPr>
                <w:rFonts w:ascii="Times New Roman" w:hAnsi="Times New Roman" w:cs="Times New Roman"/>
                <w:b/>
                <w:sz w:val="24"/>
                <w:szCs w:val="24"/>
              </w:rPr>
              <w:t>o</w:t>
            </w:r>
            <w:r w:rsidRPr="00032AA7">
              <w:rPr>
                <w:rFonts w:ascii="Times New Roman" w:hAnsi="Times New Roman" w:cs="Times New Roman"/>
                <w:b/>
                <w:sz w:val="24"/>
                <w:szCs w:val="24"/>
              </w:rPr>
              <w:t xml:space="preserve">d nenadležnih proračuna </w:t>
            </w:r>
          </w:p>
          <w:p w:rsidR="00032AA7" w:rsidRPr="00032AA7" w:rsidRDefault="00032AA7">
            <w:pPr>
              <w:rPr>
                <w:rFonts w:ascii="Times New Roman" w:hAnsi="Times New Roman" w:cs="Times New Roman"/>
                <w:b/>
                <w:sz w:val="24"/>
                <w:szCs w:val="24"/>
              </w:rPr>
            </w:pPr>
            <w:proofErr w:type="spellStart"/>
            <w:r w:rsidRPr="00032AA7">
              <w:rPr>
                <w:rFonts w:ascii="Times New Roman" w:hAnsi="Times New Roman" w:cs="Times New Roman"/>
                <w:b/>
                <w:sz w:val="24"/>
                <w:szCs w:val="24"/>
              </w:rPr>
              <w:t>Aktinost</w:t>
            </w:r>
            <w:proofErr w:type="spellEnd"/>
            <w:r w:rsidRPr="00032AA7">
              <w:rPr>
                <w:rFonts w:ascii="Times New Roman" w:hAnsi="Times New Roman" w:cs="Times New Roman"/>
                <w:b/>
                <w:sz w:val="24"/>
                <w:szCs w:val="24"/>
              </w:rPr>
              <w:t xml:space="preserve"> A100163A – EU projekti </w:t>
            </w:r>
          </w:p>
          <w:p w:rsidR="00032AA7" w:rsidRDefault="00032AA7">
            <w:r w:rsidRPr="00032AA7">
              <w:rPr>
                <w:rFonts w:ascii="Times New Roman" w:hAnsi="Times New Roman" w:cs="Times New Roman"/>
                <w:b/>
                <w:sz w:val="24"/>
                <w:szCs w:val="24"/>
              </w:rPr>
              <w:t>Aktivnost A100212A – mjera HZZ - pripravništvo</w:t>
            </w:r>
          </w:p>
        </w:tc>
        <w:tc>
          <w:tcPr>
            <w:tcW w:w="0" w:type="auto"/>
            <w:tcBorders>
              <w:left w:val="single" w:sz="36" w:space="0" w:color="000000"/>
              <w:right w:val="single" w:sz="36" w:space="0" w:color="000000"/>
            </w:tcBorders>
            <w:hideMark/>
          </w:tcPr>
          <w:p w:rsidR="00326293" w:rsidRDefault="00326293"/>
        </w:tc>
      </w:tr>
      <w:tr w:rsidR="00326293" w:rsidTr="00326293">
        <w:trPr>
          <w:trHeight w:val="525"/>
        </w:trPr>
        <w:tc>
          <w:tcPr>
            <w:tcW w:w="0" w:type="auto"/>
            <w:tcBorders>
              <w:top w:val="single" w:sz="18"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OPĆI CILJ</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326293" w:rsidRDefault="00326293">
            <w:pPr>
              <w:pStyle w:val="StandardWeb"/>
              <w:shd w:val="clear" w:color="auto" w:fill="FFFFFF"/>
              <w:spacing w:after="0"/>
              <w:ind w:left="225" w:right="345"/>
              <w:jc w:val="both"/>
            </w:pPr>
            <w:r>
              <w:rPr>
                <w:color w:val="000000"/>
              </w:rPr>
              <w:t>Zadovoljavanje opće društvenih potreba Karlovačke županije i jačanje suradnje sa širom zajednicom.</w:t>
            </w:r>
          </w:p>
          <w:p w:rsidR="00326293" w:rsidRDefault="00326293">
            <w:pPr>
              <w:pStyle w:val="StandardWeb"/>
              <w:shd w:val="clear" w:color="auto" w:fill="FFFFFF"/>
              <w:spacing w:after="0"/>
              <w:ind w:right="345"/>
              <w:jc w:val="both"/>
            </w:pPr>
            <w:r>
              <w:t> </w:t>
            </w:r>
          </w:p>
        </w:tc>
        <w:tc>
          <w:tcPr>
            <w:tcW w:w="0" w:type="auto"/>
            <w:tcBorders>
              <w:top w:val="single" w:sz="18" w:space="0" w:color="000000"/>
              <w:left w:val="single" w:sz="4" w:space="0" w:color="000000"/>
              <w:right w:val="single" w:sz="4" w:space="0" w:color="000000"/>
            </w:tcBorders>
            <w:hideMark/>
          </w:tcPr>
          <w:p w:rsidR="00326293" w:rsidRDefault="00326293"/>
        </w:tc>
      </w:tr>
      <w:tr w:rsidR="00326293" w:rsidTr="00326293">
        <w:trPr>
          <w:trHeight w:val="558"/>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POSEBNI CILJ</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120" w:right="150"/>
              <w:jc w:val="both"/>
            </w:pPr>
            <w:r>
              <w:rPr>
                <w:color w:val="000000"/>
              </w:rPr>
              <w:t>Ostvarenje odgojno – obrazovnih ciljeva, unapređenje odgojno-obrazovnog procesa, poboljšanje pedagoškog standarda, kulturna i javna djelatnost i promidžba Doma u cijelosti.</w:t>
            </w:r>
          </w:p>
        </w:tc>
        <w:tc>
          <w:tcPr>
            <w:tcW w:w="0" w:type="auto"/>
            <w:tcBorders>
              <w:left w:val="single" w:sz="4" w:space="0" w:color="000000"/>
              <w:right w:val="single" w:sz="4" w:space="0" w:color="000000"/>
            </w:tcBorders>
            <w:hideMark/>
          </w:tcPr>
          <w:p w:rsidR="00326293" w:rsidRDefault="00326293"/>
        </w:tc>
      </w:tr>
      <w:tr w:rsidR="00326293" w:rsidTr="00326293">
        <w:trPr>
          <w:trHeight w:val="707"/>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ZAKONSKA OSNOVA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120" w:right="150"/>
              <w:jc w:val="both"/>
            </w:pPr>
            <w:r>
              <w:rPr>
                <w:color w:val="000000"/>
              </w:rPr>
              <w:t>Isto kao prethodno navedena zakonska osnova za provođenje programa i </w:t>
            </w:r>
          </w:p>
          <w:p w:rsidR="00326293" w:rsidRDefault="00326293">
            <w:pPr>
              <w:pStyle w:val="StandardWeb"/>
              <w:spacing w:after="0"/>
              <w:jc w:val="both"/>
            </w:pPr>
            <w:r>
              <w:rPr>
                <w:color w:val="000000"/>
              </w:rPr>
              <w:t>Odluka Županijske skupštine Karlovačke županije od 28.02.2018, klasa. 021-04/18-01/18, urbroj: 2133/1-01-03/01-18-16, o dopuni djelatnosti Učeničkog doma Karlovac,</w:t>
            </w:r>
          </w:p>
          <w:p w:rsidR="00326293" w:rsidRDefault="00326293">
            <w:pPr>
              <w:pStyle w:val="StandardWeb"/>
              <w:spacing w:after="0"/>
              <w:jc w:val="both"/>
            </w:pPr>
            <w:r>
              <w:rPr>
                <w:color w:val="000000"/>
              </w:rPr>
              <w:t>Rješenje Ministarstva znanosti i obrazovanja, klasa: UP/I-602-03/18-01/00002, urbroj: 533-08-18-0004, o zakonitosti odluke o dopuni djelatnosti</w:t>
            </w:r>
          </w:p>
          <w:p w:rsidR="00326293" w:rsidRDefault="00326293">
            <w:pPr>
              <w:pStyle w:val="StandardWeb"/>
              <w:spacing w:after="0"/>
              <w:jc w:val="both"/>
            </w:pPr>
            <w:r>
              <w:rPr>
                <w:color w:val="000000"/>
              </w:rPr>
              <w:t>Odluka Županijske skupštine Karlovačke županije, klasa: 021-01/18-01/60, ur.broj: 2133/1-01-03/01-18-25 od 13.04.2018. g., o davanju prethodne suglasnosti na prijedlog Statuta Učeničkog doma Karlovac,</w:t>
            </w:r>
          </w:p>
          <w:p w:rsidR="00326293" w:rsidRDefault="00326293">
            <w:pPr>
              <w:pStyle w:val="StandardWeb"/>
              <w:spacing w:after="0"/>
              <w:jc w:val="both"/>
            </w:pPr>
            <w:r>
              <w:rPr>
                <w:color w:val="000000"/>
              </w:rPr>
              <w:t>Dozvola Ministarstva kulture, Konzervatorski odjel u Karlovcu, klasa: 612-08/18-23/0945, urbroj: 532-04-02-09/3-18-02, o obavljanju sporedne djelatnosti</w:t>
            </w:r>
          </w:p>
          <w:p w:rsidR="00326293" w:rsidRDefault="00326293"/>
        </w:tc>
        <w:tc>
          <w:tcPr>
            <w:tcW w:w="0" w:type="auto"/>
            <w:tcBorders>
              <w:left w:val="single" w:sz="4" w:space="0" w:color="000000"/>
              <w:right w:val="single" w:sz="4" w:space="0" w:color="000000"/>
            </w:tcBorders>
            <w:hideMark/>
          </w:tcPr>
          <w:p w:rsidR="00326293" w:rsidRDefault="00326293"/>
        </w:tc>
      </w:tr>
      <w:tr w:rsidR="00326293" w:rsidTr="00326293">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ISHODIŠTE I POKAZATELJI NA KOJIMA SE ZASNIVAJU IZRAČUNI I SREDSTVA ZA PROVOĐENJE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jc w:val="both"/>
            </w:pPr>
            <w:r>
              <w:rPr>
                <w:color w:val="000000"/>
              </w:rPr>
              <w:t xml:space="preserve">Zbog potrebe od šireg društvenog interesa i realizacije kulturnih i sportskih programa u Karlovačkoj županiji, u periodu kada naši učenici nisu koristili Dom, omogućen je smještaj i prehrana učesnika kulturnih i sportskih </w:t>
            </w:r>
            <w:r>
              <w:rPr>
                <w:color w:val="000000"/>
              </w:rPr>
              <w:lastRenderedPageBreak/>
              <w:t xml:space="preserve">događanja. Obavljanje osnovne djelatnosti Doma, </w:t>
            </w:r>
            <w:r w:rsidR="00032AA7">
              <w:rPr>
                <w:color w:val="000000"/>
              </w:rPr>
              <w:t>smještaja i prehrana te odgojno-</w:t>
            </w:r>
            <w:r>
              <w:rPr>
                <w:color w:val="000000"/>
              </w:rPr>
              <w:t>obrazovni proces.</w:t>
            </w:r>
          </w:p>
          <w:p w:rsidR="00326293" w:rsidRDefault="00326293">
            <w:pPr>
              <w:pStyle w:val="StandardWeb"/>
              <w:spacing w:after="0"/>
              <w:jc w:val="both"/>
            </w:pPr>
            <w:r>
              <w:rPr>
                <w:color w:val="000000"/>
              </w:rPr>
              <w:t>Daljnja kapitalna ulaganja prema Planu kapitalnih ulaganja za 2021. g. financiranih iz viška prihoda nad rashodima iz pri</w:t>
            </w:r>
            <w:r w:rsidR="00032AA7">
              <w:rPr>
                <w:color w:val="000000"/>
              </w:rPr>
              <w:t>jašnjih godina Doma, sredstava Karlovačke županije i grada Karlovca.</w:t>
            </w:r>
          </w:p>
        </w:tc>
        <w:tc>
          <w:tcPr>
            <w:tcW w:w="0" w:type="auto"/>
            <w:tcBorders>
              <w:left w:val="single" w:sz="4" w:space="0" w:color="000000"/>
              <w:right w:val="single" w:sz="4" w:space="0" w:color="000000"/>
            </w:tcBorders>
            <w:hideMark/>
          </w:tcPr>
          <w:p w:rsidR="00326293" w:rsidRDefault="00326293"/>
        </w:tc>
      </w:tr>
      <w:tr w:rsidR="00326293" w:rsidTr="00326293">
        <w:trPr>
          <w:trHeight w:val="1833"/>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NAČIN I SREDSTVA ZA REALIZACIJU PROGRAMA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right="227"/>
              <w:jc w:val="both"/>
            </w:pPr>
            <w:r>
              <w:rPr>
                <w:color w:val="000000"/>
              </w:rPr>
              <w:t>    Aktivnost A100161A - Po sklopljenom ugovoru sa roditeljima korisnika Doma, svaki mjesec ispostavlja se faktura za troškove smještaja i prehrane učenika u Domu, na iznos od 630,00 kuna, i to za mjesece 01-06. i 09-12. odnosno 10 mjeseci u toku godine.</w:t>
            </w:r>
          </w:p>
          <w:p w:rsidR="00326293" w:rsidRDefault="00326293">
            <w:pPr>
              <w:pStyle w:val="StandardWeb"/>
              <w:spacing w:after="0"/>
              <w:ind w:right="227"/>
              <w:jc w:val="both"/>
            </w:pPr>
            <w:r>
              <w:rPr>
                <w:color w:val="000000"/>
              </w:rPr>
              <w:t>    Ove godine imamo 152 korisnika, hrvatske državljane.</w:t>
            </w:r>
          </w:p>
          <w:p w:rsidR="00326293" w:rsidRDefault="00326293">
            <w:pPr>
              <w:pStyle w:val="StandardWeb"/>
              <w:spacing w:after="0"/>
              <w:ind w:right="227"/>
              <w:jc w:val="both"/>
              <w:rPr>
                <w:color w:val="000000"/>
              </w:rPr>
            </w:pPr>
            <w:r>
              <w:rPr>
                <w:color w:val="000000"/>
              </w:rPr>
              <w:t>  Ukupni prihodi za 2021. g. smanjeni su na nivo 9 mjeseci, odnosno umjesto fakturiranih i naplaćenih troškova za 10 mjeseci imati ćemo prihode na osnovu 9 mjeseca, s time da nam MZO treba uplatiti za učenike</w:t>
            </w:r>
            <w:r w:rsidR="005A0355">
              <w:rPr>
                <w:color w:val="000000"/>
              </w:rPr>
              <w:t xml:space="preserve"> sa područja pogođenim potresom.</w:t>
            </w:r>
          </w:p>
          <w:p w:rsidR="005A0355" w:rsidRDefault="008450A6">
            <w:pPr>
              <w:pStyle w:val="StandardWeb"/>
              <w:spacing w:after="0"/>
              <w:ind w:right="227"/>
              <w:jc w:val="both"/>
            </w:pPr>
            <w:r>
              <w:rPr>
                <w:color w:val="000000"/>
              </w:rPr>
              <w:t xml:space="preserve">862.000,00 – 85.995,00 (uplata MZO, izvor 503) + </w:t>
            </w:r>
            <w:r w:rsidR="0093289B">
              <w:rPr>
                <w:color w:val="000000"/>
              </w:rPr>
              <w:t>85.059,38</w:t>
            </w:r>
            <w:r>
              <w:rPr>
                <w:color w:val="000000"/>
              </w:rPr>
              <w:t>,00 (uplata karlovačke županije za štetu od potresa, izvor 432) = 8</w:t>
            </w:r>
            <w:r w:rsidR="0093289B">
              <w:rPr>
                <w:color w:val="000000"/>
              </w:rPr>
              <w:t>6</w:t>
            </w:r>
            <w:r>
              <w:rPr>
                <w:color w:val="000000"/>
              </w:rPr>
              <w:t>1.0</w:t>
            </w:r>
            <w:r w:rsidR="0093289B">
              <w:rPr>
                <w:color w:val="000000"/>
              </w:rPr>
              <w:t>64</w:t>
            </w:r>
            <w:r>
              <w:rPr>
                <w:color w:val="000000"/>
              </w:rPr>
              <w:t>,</w:t>
            </w:r>
            <w:r w:rsidR="0093289B">
              <w:rPr>
                <w:color w:val="000000"/>
              </w:rPr>
              <w:t>38</w:t>
            </w:r>
            <w:r>
              <w:rPr>
                <w:color w:val="000000"/>
              </w:rPr>
              <w:t xml:space="preserve"> kn.</w:t>
            </w:r>
          </w:p>
          <w:p w:rsidR="00326293" w:rsidRDefault="00326293">
            <w:pPr>
              <w:pStyle w:val="StandardWeb"/>
              <w:spacing w:after="0"/>
              <w:ind w:right="227"/>
              <w:jc w:val="both"/>
            </w:pPr>
            <w:r>
              <w:rPr>
                <w:color w:val="000000"/>
              </w:rPr>
              <w:t>Vezano za smanjene prihode u tom omjeru smanjili smo i rashode . Navedeni prihodi koriste se za pokriće redovnih troškova poslovanja Doma, a koji nisu pokriveni iz dijela prihoda od sufinanciranja smještaja i prehrane u Domu od strane osnivača.</w:t>
            </w:r>
          </w:p>
          <w:p w:rsidR="00326293" w:rsidRDefault="00326293">
            <w:pPr>
              <w:pStyle w:val="StandardWeb"/>
              <w:spacing w:after="0"/>
              <w:ind w:right="227"/>
              <w:jc w:val="both"/>
            </w:pPr>
            <w:r>
              <w:rPr>
                <w:color w:val="000000"/>
              </w:rPr>
              <w:t>    To su troškovi službenih putovanja i edukacije djelatnika, troškovi za uredski materijal, pretplate za stručne časopise, čistoću, naknadu za uređenje voda i komunalne naknade, materijal i usluge za tekuće i investicijsko održavanje, sitni inventar, službenu i radnu odjeću i obuću, premije osiguranja, troškove telefona, ugovore o djelu, prijevoz učenika na takmičenje, računalne usluge.</w:t>
            </w:r>
          </w:p>
          <w:p w:rsidR="00326293" w:rsidRDefault="00326293">
            <w:pPr>
              <w:pStyle w:val="StandardWeb"/>
              <w:spacing w:after="0"/>
              <w:ind w:right="227"/>
              <w:jc w:val="both"/>
            </w:pPr>
            <w:r>
              <w:rPr>
                <w:color w:val="000000"/>
              </w:rPr>
              <w:t xml:space="preserve">Pod ovom aktivnošću prikazani su troškovi kapitalnih ulaganja u iznosu od </w:t>
            </w:r>
            <w:r w:rsidR="00032AA7">
              <w:rPr>
                <w:color w:val="000000"/>
              </w:rPr>
              <w:t>692.573,16</w:t>
            </w:r>
            <w:r>
              <w:rPr>
                <w:color w:val="000000"/>
              </w:rPr>
              <w:t xml:space="preserve"> kn, planiranih iz viška prihoda nad rashodima iz prijašnjih godina i to, za ulaganja u građevinske objekte </w:t>
            </w:r>
            <w:r w:rsidR="00032AA7">
              <w:rPr>
                <w:color w:val="000000"/>
              </w:rPr>
              <w:t>511.075,00</w:t>
            </w:r>
            <w:r>
              <w:rPr>
                <w:color w:val="000000"/>
              </w:rPr>
              <w:t xml:space="preserve"> kn i uređaje i namještaj </w:t>
            </w:r>
            <w:r w:rsidR="00032AA7">
              <w:rPr>
                <w:color w:val="000000"/>
              </w:rPr>
              <w:t>181.498,16</w:t>
            </w:r>
            <w:r>
              <w:rPr>
                <w:color w:val="000000"/>
              </w:rPr>
              <w:t xml:space="preserve">,00 kn. Planiramo obnoviti fasadu, izvršiti pregradu osmero krevetne sobe, zamijeniti ulazna vrata, zamijeniti vrata u upravnoj zgradi, izraditi nadstrešnicu u atriju, nabaviti namještaj za upravnu zgradu i uređaje za vešeraj i kuhinju, </w:t>
            </w:r>
            <w:r w:rsidR="00032AA7">
              <w:rPr>
                <w:color w:val="000000"/>
              </w:rPr>
              <w:t>4 prijenosna računala, mobiteli, klime za odjele, namještaj za pregrađene sobe.</w:t>
            </w:r>
          </w:p>
          <w:p w:rsidR="008450A6" w:rsidRDefault="00326293">
            <w:pPr>
              <w:pStyle w:val="StandardWeb"/>
              <w:spacing w:after="0"/>
              <w:jc w:val="both"/>
              <w:rPr>
                <w:color w:val="000000"/>
              </w:rPr>
            </w:pPr>
            <w:r>
              <w:rPr>
                <w:color w:val="000000"/>
              </w:rPr>
              <w:lastRenderedPageBreak/>
              <w:t xml:space="preserve">Aktivnost A100042 – vlastiti prihodi planirani su u iznosu od </w:t>
            </w:r>
            <w:r w:rsidR="0093289B">
              <w:rPr>
                <w:color w:val="000000"/>
              </w:rPr>
              <w:t>19.200,00</w:t>
            </w:r>
            <w:r>
              <w:rPr>
                <w:color w:val="000000"/>
              </w:rPr>
              <w:t xml:space="preserve"> kn, i to </w:t>
            </w:r>
            <w:r w:rsidR="008450A6">
              <w:rPr>
                <w:color w:val="000000"/>
              </w:rPr>
              <w:t>200</w:t>
            </w:r>
            <w:r>
              <w:rPr>
                <w:color w:val="000000"/>
              </w:rPr>
              <w:t xml:space="preserve">,00 kn od kamate po viđenju i </w:t>
            </w:r>
            <w:r w:rsidR="0093289B">
              <w:rPr>
                <w:color w:val="000000"/>
              </w:rPr>
              <w:t>19.000</w:t>
            </w:r>
            <w:r w:rsidR="008450A6">
              <w:rPr>
                <w:color w:val="000000"/>
              </w:rPr>
              <w:t xml:space="preserve">,00 kn od dopunske djelatnosti. </w:t>
            </w:r>
          </w:p>
          <w:p w:rsidR="008450A6" w:rsidRDefault="00326293">
            <w:pPr>
              <w:pStyle w:val="StandardWeb"/>
              <w:spacing w:after="0"/>
              <w:jc w:val="both"/>
              <w:rPr>
                <w:color w:val="000000"/>
              </w:rPr>
            </w:pPr>
            <w:r>
              <w:rPr>
                <w:color w:val="000000"/>
              </w:rPr>
              <w:t>    Aktivnost A100142B- prihodi od prodaje stanova u društvenom vlasništvu. Planirani su u iznosu od 1.000,00 kn. Iz toga se nadoknađuju troškovi inkasatora kao ovlaštenog posrednika, u iznosu od 250,00 kn i ostatak od 750,00 kn financir</w:t>
            </w:r>
            <w:r w:rsidR="008450A6">
              <w:rPr>
                <w:color w:val="000000"/>
              </w:rPr>
              <w:t>a se nabava dugotrajne imovine.</w:t>
            </w:r>
          </w:p>
          <w:p w:rsidR="008450A6" w:rsidRDefault="008450A6">
            <w:pPr>
              <w:pStyle w:val="StandardWeb"/>
              <w:spacing w:after="0"/>
              <w:jc w:val="both"/>
              <w:rPr>
                <w:color w:val="000000"/>
              </w:rPr>
            </w:pPr>
            <w:r>
              <w:rPr>
                <w:color w:val="000000"/>
              </w:rPr>
              <w:t>Aktivnost A 100162A -  prijenos sredstava iz nenadležnih proračuna:</w:t>
            </w:r>
          </w:p>
          <w:p w:rsidR="008450A6" w:rsidRDefault="008450A6">
            <w:pPr>
              <w:pStyle w:val="StandardWeb"/>
              <w:spacing w:after="0"/>
              <w:jc w:val="both"/>
              <w:rPr>
                <w:color w:val="000000"/>
              </w:rPr>
            </w:pPr>
            <w:r>
              <w:rPr>
                <w:color w:val="000000"/>
              </w:rPr>
              <w:t>Uplata MZO za učenike sa područja pogođenih potresom: 85.995,00 kn</w:t>
            </w:r>
            <w:r w:rsidR="009659C0">
              <w:rPr>
                <w:color w:val="000000"/>
              </w:rPr>
              <w:t xml:space="preserve"> i refundacija troškova testiranja djelatnika 7.500,00 kn.</w:t>
            </w:r>
          </w:p>
          <w:p w:rsidR="008450A6" w:rsidRDefault="008450A6">
            <w:pPr>
              <w:pStyle w:val="StandardWeb"/>
              <w:spacing w:after="0"/>
              <w:jc w:val="both"/>
              <w:rPr>
                <w:color w:val="000000"/>
              </w:rPr>
            </w:pPr>
            <w:r>
              <w:rPr>
                <w:color w:val="000000"/>
              </w:rPr>
              <w:t>Uplata Grada Karlovca iz spomeničke rente, sufinanciranje fasade: 100.000,00 kn.</w:t>
            </w:r>
          </w:p>
          <w:p w:rsidR="00D473E8" w:rsidRDefault="00D473E8">
            <w:pPr>
              <w:pStyle w:val="StandardWeb"/>
              <w:spacing w:after="0"/>
              <w:jc w:val="both"/>
              <w:rPr>
                <w:color w:val="000000"/>
              </w:rPr>
            </w:pPr>
            <w:r>
              <w:rPr>
                <w:color w:val="000000"/>
              </w:rPr>
              <w:t xml:space="preserve">Aktivnost </w:t>
            </w:r>
            <w:r w:rsidR="00F20494">
              <w:rPr>
                <w:color w:val="000000"/>
              </w:rPr>
              <w:t xml:space="preserve">A100163A – EU projekti -  uplaćeni je konačni iznos </w:t>
            </w:r>
            <w:proofErr w:type="spellStart"/>
            <w:r w:rsidR="00F20494">
              <w:rPr>
                <w:color w:val="000000"/>
              </w:rPr>
              <w:t>Erasmus</w:t>
            </w:r>
            <w:proofErr w:type="spellEnd"/>
            <w:r w:rsidR="00F20494">
              <w:rPr>
                <w:color w:val="000000"/>
              </w:rPr>
              <w:t xml:space="preserve"> projekta za ravnateljicu, u iznosu od 1.994,96 kn.</w:t>
            </w:r>
          </w:p>
          <w:p w:rsidR="00F20494" w:rsidRDefault="00F20494">
            <w:pPr>
              <w:pStyle w:val="StandardWeb"/>
              <w:spacing w:after="0"/>
              <w:jc w:val="both"/>
              <w:rPr>
                <w:color w:val="000000"/>
              </w:rPr>
            </w:pPr>
            <w:r>
              <w:rPr>
                <w:color w:val="000000"/>
              </w:rPr>
              <w:t>Aktivnost A100212A – Mjere HZZ – pripravništvo</w:t>
            </w:r>
          </w:p>
          <w:p w:rsidR="00F20494" w:rsidRDefault="00F20494">
            <w:pPr>
              <w:pStyle w:val="StandardWeb"/>
              <w:spacing w:after="0"/>
              <w:jc w:val="both"/>
              <w:rPr>
                <w:color w:val="000000"/>
              </w:rPr>
            </w:pPr>
            <w:r>
              <w:rPr>
                <w:color w:val="000000"/>
              </w:rPr>
              <w:t>Uplaćeni konačni iznos za pripravništvo od HZZ u iznosu od 1.317,85 kn.</w:t>
            </w:r>
          </w:p>
          <w:p w:rsidR="008450A6" w:rsidRDefault="008450A6">
            <w:pPr>
              <w:pStyle w:val="StandardWeb"/>
              <w:spacing w:after="0"/>
              <w:jc w:val="both"/>
              <w:rPr>
                <w:color w:val="000000"/>
              </w:rPr>
            </w:pPr>
          </w:p>
          <w:p w:rsidR="00326293" w:rsidRDefault="00326293">
            <w:pPr>
              <w:pStyle w:val="StandardWeb"/>
              <w:spacing w:after="0"/>
              <w:jc w:val="both"/>
            </w:pPr>
            <w:r>
              <w:rPr>
                <w:color w:val="000000"/>
              </w:rPr>
              <w:t>   </w:t>
            </w:r>
          </w:p>
          <w:p w:rsidR="00326293" w:rsidRDefault="00326293">
            <w:pPr>
              <w:spacing w:after="240"/>
            </w:pPr>
            <w:r>
              <w:br/>
            </w:r>
            <w:r>
              <w:br/>
            </w:r>
            <w:r>
              <w:br/>
            </w:r>
            <w:r>
              <w:br/>
            </w:r>
            <w:r>
              <w:br/>
            </w:r>
          </w:p>
        </w:tc>
        <w:tc>
          <w:tcPr>
            <w:tcW w:w="0" w:type="auto"/>
            <w:tcBorders>
              <w:left w:val="single" w:sz="4" w:space="0" w:color="000000"/>
              <w:bottom w:val="single" w:sz="4" w:space="0" w:color="000000"/>
              <w:right w:val="single" w:sz="4" w:space="0" w:color="000000"/>
            </w:tcBorders>
            <w:hideMark/>
          </w:tcPr>
          <w:p w:rsidR="00326293" w:rsidRDefault="00326293">
            <w:pPr>
              <w:spacing w:after="0"/>
            </w:pPr>
          </w:p>
        </w:tc>
      </w:tr>
      <w:tr w:rsidR="00326293" w:rsidTr="00326293">
        <w:trPr>
          <w:trHeight w:val="701"/>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lastRenderedPageBreak/>
              <w:t>RAZLOG ODSTUPANJA OD PROŠLOGODIŠNJIH PROJEKCIJA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93289B">
            <w:pPr>
              <w:pStyle w:val="StandardWeb"/>
              <w:spacing w:after="0"/>
              <w:ind w:right="105"/>
              <w:jc w:val="both"/>
              <w:rPr>
                <w:color w:val="000000"/>
              </w:rPr>
            </w:pPr>
            <w:r>
              <w:rPr>
                <w:color w:val="000000"/>
              </w:rPr>
              <w:t>U odnosu na II rebalans povećana su sredstva od Ureda župana za saniranje štete od potresa</w:t>
            </w:r>
            <w:r w:rsidR="000A5775">
              <w:rPr>
                <w:color w:val="000000"/>
              </w:rPr>
              <w:t>, izvor 432,</w:t>
            </w:r>
            <w:r>
              <w:rPr>
                <w:color w:val="000000"/>
              </w:rPr>
              <w:t xml:space="preserve"> i to za obnovu vijenca na zgradi Doma, za 19.984,38 kn, jer je potrebno montirati fasadnu skelu, da bi se radovi </w:t>
            </w:r>
            <w:r w:rsidR="000A5775">
              <w:rPr>
                <w:color w:val="000000"/>
              </w:rPr>
              <w:t>mogli izvršiti</w:t>
            </w:r>
            <w:r w:rsidR="00326293">
              <w:rPr>
                <w:color w:val="000000"/>
              </w:rPr>
              <w:t>.</w:t>
            </w:r>
          </w:p>
          <w:p w:rsidR="00F20494" w:rsidRDefault="00F20494">
            <w:pPr>
              <w:pStyle w:val="StandardWeb"/>
              <w:spacing w:after="0"/>
              <w:ind w:right="105"/>
              <w:jc w:val="both"/>
              <w:rPr>
                <w:color w:val="000000"/>
              </w:rPr>
            </w:pPr>
            <w:r>
              <w:rPr>
                <w:color w:val="000000"/>
              </w:rPr>
              <w:t>Realizirana kapitalna ulaganja svedena su na realnu cijenu.</w:t>
            </w:r>
          </w:p>
          <w:p w:rsidR="00F20494" w:rsidRDefault="009659C0">
            <w:pPr>
              <w:pStyle w:val="StandardWeb"/>
              <w:spacing w:after="0"/>
              <w:ind w:right="105"/>
              <w:jc w:val="both"/>
            </w:pPr>
            <w:r>
              <w:t>Povećani je iznos izvora 503, refundacija troškova od MZO-a, za testiranje djelatnika, za 7.500,00 kn.</w:t>
            </w:r>
          </w:p>
          <w:p w:rsidR="00326293" w:rsidRDefault="00326293"/>
        </w:tc>
        <w:tc>
          <w:tcPr>
            <w:tcW w:w="0" w:type="auto"/>
            <w:tcBorders>
              <w:left w:val="single" w:sz="4" w:space="0" w:color="000000"/>
              <w:right w:val="single" w:sz="4" w:space="0" w:color="000000"/>
            </w:tcBorders>
            <w:hideMark/>
          </w:tcPr>
          <w:p w:rsidR="00326293" w:rsidRDefault="00326293"/>
        </w:tc>
      </w:tr>
      <w:tr w:rsidR="00326293" w:rsidTr="00326293">
        <w:trPr>
          <w:trHeight w:val="778"/>
        </w:trPr>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pPr>
            <w:r>
              <w:rPr>
                <w:b/>
                <w:bCs/>
                <w:color w:val="000000"/>
              </w:rPr>
              <w:t>POKAZATELJI USPJEŠNOSTI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26293" w:rsidRDefault="00326293">
            <w:pPr>
              <w:pStyle w:val="StandardWeb"/>
              <w:spacing w:after="0"/>
              <w:ind w:left="90" w:right="90"/>
              <w:jc w:val="both"/>
            </w:pPr>
            <w:r>
              <w:rPr>
                <w:color w:val="000000"/>
              </w:rPr>
              <w:t>Isto kao kod Aktivnosti A100037</w:t>
            </w:r>
          </w:p>
        </w:tc>
        <w:tc>
          <w:tcPr>
            <w:tcW w:w="0" w:type="auto"/>
            <w:tcBorders>
              <w:left w:val="single" w:sz="4" w:space="0" w:color="000000"/>
              <w:right w:val="single" w:sz="4" w:space="0" w:color="000000"/>
            </w:tcBorders>
            <w:hideMark/>
          </w:tcPr>
          <w:p w:rsidR="00326293" w:rsidRDefault="00326293"/>
        </w:tc>
      </w:tr>
    </w:tbl>
    <w:p w:rsidR="00326293" w:rsidRDefault="00326293" w:rsidP="00326293"/>
    <w:p w:rsidR="00326293" w:rsidRDefault="00326293" w:rsidP="00326293">
      <w:pPr>
        <w:pStyle w:val="StandardWeb"/>
        <w:spacing w:after="0"/>
        <w:rPr>
          <w:color w:val="000000"/>
        </w:rPr>
      </w:pPr>
      <w:r>
        <w:rPr>
          <w:color w:val="000000"/>
        </w:rPr>
        <w:t xml:space="preserve">Karlovac, </w:t>
      </w:r>
      <w:r w:rsidR="00FF6F92">
        <w:rPr>
          <w:color w:val="000000"/>
        </w:rPr>
        <w:t>1</w:t>
      </w:r>
      <w:r w:rsidR="009659C0">
        <w:rPr>
          <w:color w:val="000000"/>
        </w:rPr>
        <w:t>5</w:t>
      </w:r>
      <w:r w:rsidR="00FF6F92">
        <w:rPr>
          <w:color w:val="000000"/>
        </w:rPr>
        <w:t>.11.2021.</w:t>
      </w:r>
      <w:r w:rsidR="00324F8E">
        <w:rPr>
          <w:color w:val="000000"/>
        </w:rPr>
        <w:t xml:space="preserve"> g.</w:t>
      </w:r>
      <w:r w:rsidR="00443869">
        <w:rPr>
          <w:color w:val="000000"/>
        </w:rPr>
        <w:t xml:space="preserve">                                                                         Ravnateljica:</w:t>
      </w:r>
    </w:p>
    <w:p w:rsidR="00443869" w:rsidRDefault="00443869" w:rsidP="00326293">
      <w:pPr>
        <w:pStyle w:val="StandardWeb"/>
        <w:spacing w:after="0"/>
      </w:pPr>
      <w:r>
        <w:rPr>
          <w:color w:val="000000"/>
        </w:rPr>
        <w:t xml:space="preserve">                                                                                                                </w:t>
      </w:r>
      <w:r>
        <w:rPr>
          <w:color w:val="000000"/>
        </w:rPr>
        <w:t>Astrid Pavletić</w:t>
      </w:r>
    </w:p>
    <w:p w:rsidR="00326293" w:rsidRDefault="00326293" w:rsidP="00326293">
      <w:pPr>
        <w:pStyle w:val="StandardWeb"/>
        <w:spacing w:after="0"/>
      </w:pPr>
      <w:bookmarkStart w:id="0" w:name="_GoBack"/>
      <w:bookmarkEnd w:id="0"/>
      <w:r>
        <w:rPr>
          <w:color w:val="000000"/>
        </w:rPr>
        <w:lastRenderedPageBreak/>
        <w:t>                                                                                                             </w:t>
      </w:r>
    </w:p>
    <w:p w:rsidR="00CB1E07" w:rsidRDefault="00CB1E07" w:rsidP="00326293"/>
    <w:sectPr w:rsidR="00CB1E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293"/>
    <w:rsid w:val="00032AA7"/>
    <w:rsid w:val="000A5775"/>
    <w:rsid w:val="002D393C"/>
    <w:rsid w:val="00324F8E"/>
    <w:rsid w:val="00326293"/>
    <w:rsid w:val="003B0F87"/>
    <w:rsid w:val="003E1514"/>
    <w:rsid w:val="00443869"/>
    <w:rsid w:val="004F4605"/>
    <w:rsid w:val="00521A4F"/>
    <w:rsid w:val="005A0355"/>
    <w:rsid w:val="008450A6"/>
    <w:rsid w:val="00873DB3"/>
    <w:rsid w:val="00924FC8"/>
    <w:rsid w:val="0093289B"/>
    <w:rsid w:val="0096531E"/>
    <w:rsid w:val="009659C0"/>
    <w:rsid w:val="0098696C"/>
    <w:rsid w:val="009D6C5B"/>
    <w:rsid w:val="00A77CB8"/>
    <w:rsid w:val="00C7675B"/>
    <w:rsid w:val="00CB1E07"/>
    <w:rsid w:val="00D473E8"/>
    <w:rsid w:val="00F20494"/>
    <w:rsid w:val="00F41BF4"/>
    <w:rsid w:val="00F61D68"/>
    <w:rsid w:val="00FF6F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EF14"/>
  <w15:chartTrackingRefBased/>
  <w15:docId w15:val="{71B89063-43EB-4D2C-827A-C60ACFF0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262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24610">
      <w:bodyDiv w:val="1"/>
      <w:marLeft w:val="0"/>
      <w:marRight w:val="0"/>
      <w:marTop w:val="0"/>
      <w:marBottom w:val="0"/>
      <w:divBdr>
        <w:top w:val="none" w:sz="0" w:space="0" w:color="auto"/>
        <w:left w:val="none" w:sz="0" w:space="0" w:color="auto"/>
        <w:bottom w:val="none" w:sz="0" w:space="0" w:color="auto"/>
        <w:right w:val="none" w:sz="0" w:space="0" w:color="auto"/>
      </w:divBdr>
      <w:divsChild>
        <w:div w:id="1549417576">
          <w:marLeft w:val="-567"/>
          <w:marRight w:val="0"/>
          <w:marTop w:val="0"/>
          <w:marBottom w:val="0"/>
          <w:divBdr>
            <w:top w:val="none" w:sz="0" w:space="0" w:color="auto"/>
            <w:left w:val="none" w:sz="0" w:space="0" w:color="auto"/>
            <w:bottom w:val="none" w:sz="0" w:space="0" w:color="auto"/>
            <w:right w:val="none" w:sz="0" w:space="0" w:color="auto"/>
          </w:divBdr>
        </w:div>
        <w:div w:id="1848711227">
          <w:marLeft w:val="-567"/>
          <w:marRight w:val="0"/>
          <w:marTop w:val="0"/>
          <w:marBottom w:val="0"/>
          <w:divBdr>
            <w:top w:val="none" w:sz="0" w:space="0" w:color="auto"/>
            <w:left w:val="none" w:sz="0" w:space="0" w:color="auto"/>
            <w:bottom w:val="none" w:sz="0" w:space="0" w:color="auto"/>
            <w:right w:val="none" w:sz="0" w:space="0" w:color="auto"/>
          </w:divBdr>
        </w:div>
        <w:div w:id="1400400380">
          <w:marLeft w:val="-968"/>
          <w:marRight w:val="0"/>
          <w:marTop w:val="0"/>
          <w:marBottom w:val="0"/>
          <w:divBdr>
            <w:top w:val="none" w:sz="0" w:space="0" w:color="auto"/>
            <w:left w:val="none" w:sz="0" w:space="0" w:color="auto"/>
            <w:bottom w:val="none" w:sz="0" w:space="0" w:color="auto"/>
            <w:right w:val="none" w:sz="0" w:space="0" w:color="auto"/>
          </w:divBdr>
        </w:div>
      </w:divsChild>
    </w:div>
    <w:div w:id="761339091">
      <w:bodyDiv w:val="1"/>
      <w:marLeft w:val="0"/>
      <w:marRight w:val="0"/>
      <w:marTop w:val="0"/>
      <w:marBottom w:val="0"/>
      <w:divBdr>
        <w:top w:val="none" w:sz="0" w:space="0" w:color="auto"/>
        <w:left w:val="none" w:sz="0" w:space="0" w:color="auto"/>
        <w:bottom w:val="none" w:sz="0" w:space="0" w:color="auto"/>
        <w:right w:val="none" w:sz="0" w:space="0" w:color="auto"/>
      </w:divBdr>
      <w:divsChild>
        <w:div w:id="1551771757">
          <w:marLeft w:val="-567"/>
          <w:marRight w:val="0"/>
          <w:marTop w:val="0"/>
          <w:marBottom w:val="0"/>
          <w:divBdr>
            <w:top w:val="none" w:sz="0" w:space="0" w:color="auto"/>
            <w:left w:val="none" w:sz="0" w:space="0" w:color="auto"/>
            <w:bottom w:val="none" w:sz="0" w:space="0" w:color="auto"/>
            <w:right w:val="none" w:sz="0" w:space="0" w:color="auto"/>
          </w:divBdr>
        </w:div>
        <w:div w:id="455175327">
          <w:marLeft w:val="-567"/>
          <w:marRight w:val="0"/>
          <w:marTop w:val="0"/>
          <w:marBottom w:val="0"/>
          <w:divBdr>
            <w:top w:val="none" w:sz="0" w:space="0" w:color="auto"/>
            <w:left w:val="none" w:sz="0" w:space="0" w:color="auto"/>
            <w:bottom w:val="none" w:sz="0" w:space="0" w:color="auto"/>
            <w:right w:val="none" w:sz="0" w:space="0" w:color="auto"/>
          </w:divBdr>
        </w:div>
        <w:div w:id="1050150867">
          <w:marLeft w:val="-968"/>
          <w:marRight w:val="0"/>
          <w:marTop w:val="0"/>
          <w:marBottom w:val="0"/>
          <w:divBdr>
            <w:top w:val="none" w:sz="0" w:space="0" w:color="auto"/>
            <w:left w:val="none" w:sz="0" w:space="0" w:color="auto"/>
            <w:bottom w:val="none" w:sz="0" w:space="0" w:color="auto"/>
            <w:right w:val="none" w:sz="0" w:space="0" w:color="auto"/>
          </w:divBdr>
        </w:div>
      </w:divsChild>
    </w:div>
    <w:div w:id="937524812">
      <w:bodyDiv w:val="1"/>
      <w:marLeft w:val="0"/>
      <w:marRight w:val="0"/>
      <w:marTop w:val="0"/>
      <w:marBottom w:val="0"/>
      <w:divBdr>
        <w:top w:val="none" w:sz="0" w:space="0" w:color="auto"/>
        <w:left w:val="none" w:sz="0" w:space="0" w:color="auto"/>
        <w:bottom w:val="none" w:sz="0" w:space="0" w:color="auto"/>
        <w:right w:val="none" w:sz="0" w:space="0" w:color="auto"/>
      </w:divBdr>
      <w:divsChild>
        <w:div w:id="1840316476">
          <w:marLeft w:val="-567"/>
          <w:marRight w:val="0"/>
          <w:marTop w:val="0"/>
          <w:marBottom w:val="0"/>
          <w:divBdr>
            <w:top w:val="none" w:sz="0" w:space="0" w:color="auto"/>
            <w:left w:val="none" w:sz="0" w:space="0" w:color="auto"/>
            <w:bottom w:val="none" w:sz="0" w:space="0" w:color="auto"/>
            <w:right w:val="none" w:sz="0" w:space="0" w:color="auto"/>
          </w:divBdr>
        </w:div>
        <w:div w:id="855533712">
          <w:marLeft w:val="-567"/>
          <w:marRight w:val="0"/>
          <w:marTop w:val="0"/>
          <w:marBottom w:val="0"/>
          <w:divBdr>
            <w:top w:val="none" w:sz="0" w:space="0" w:color="auto"/>
            <w:left w:val="none" w:sz="0" w:space="0" w:color="auto"/>
            <w:bottom w:val="none" w:sz="0" w:space="0" w:color="auto"/>
            <w:right w:val="none" w:sz="0" w:space="0" w:color="auto"/>
          </w:divBdr>
        </w:div>
        <w:div w:id="396441572">
          <w:marLeft w:val="-9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8</Pages>
  <Words>1930</Words>
  <Characters>11002</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Andreja</cp:lastModifiedBy>
  <cp:revision>17</cp:revision>
  <dcterms:created xsi:type="dcterms:W3CDTF">2021-08-26T08:56:00Z</dcterms:created>
  <dcterms:modified xsi:type="dcterms:W3CDTF">2021-11-15T08:43:00Z</dcterms:modified>
</cp:coreProperties>
</file>